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Risk Assessment and Treatment Policy</w:t>
      </w:r>
    </w:p>
    <w:p>
      <w:pPr>
        <w:spacing w:after="600"/>
        <w:jc w:val="center"/>
      </w:pPr>
      <w:r>
        <w:rPr>
          <w:rFonts w:ascii="Arial" w:cs="Arial" w:eastAsia="Arial" w:hAnsi="Arial"/>
          <w:i/>
          <w:iCs/>
          <w:color w:val="718096"/>
          <w:sz w:val="24"/>
          <w:szCs w:val="24"/>
        </w:rPr>
        <w:t xml:space="preserve">ISO 27001 Clause 6.1 / SOC 2 CC3.1–CC3.4</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the methodology and procedures for identifying, assessing, treating, and monitoring information security risks within the SafeRedact ISMS. It satisfies ISO 27001:2022 Clauses 6.1, 8.2, and 8.3, and supports the SOC 2 Security and Availability Trust Service Criteria.</w:t>
      </w:r>
    </w:p>
    <w:p>
      <w:pPr>
        <w:pStyle w:val="Heading1"/>
      </w:pPr>
      <w:r>
        <w:t xml:space="preserve">2. Risk Assessment Methodology</w:t>
      </w:r>
    </w:p>
    <w:p>
      <w:pPr>
        <w:pStyle w:val="Heading2"/>
      </w:pPr>
      <w:r>
        <w:t xml:space="preserve">2.1 Asset Identification</w:t>
      </w:r>
    </w:p>
    <w:p>
      <w:pPr>
        <w:spacing w:after="160"/>
      </w:pPr>
      <w:r>
        <w:rPr>
          <w:rFonts w:ascii="Arial" w:cs="Arial" w:eastAsia="Arial" w:hAnsi="Arial"/>
          <w:sz w:val="22"/>
          <w:szCs w:val="22"/>
        </w:rPr>
        <w:t xml:space="preserve">All information assets shall be identified and cataloged, including hardware and infrastructure, software and applications, data and databases, services provided by third parties, personnel and their access levels, and intellectual property.</w:t>
      </w:r>
    </w:p>
    <w:p>
      <w:pPr>
        <w:pStyle w:val="Heading2"/>
      </w:pPr>
      <w:r>
        <w:t xml:space="preserve">2.2 Threat Identification</w:t>
      </w:r>
    </w:p>
    <w:p>
      <w:pPr>
        <w:spacing w:after="160"/>
      </w:pPr>
      <w:r>
        <w:rPr>
          <w:rFonts w:ascii="Arial" w:cs="Arial" w:eastAsia="Arial" w:hAnsi="Arial"/>
          <w:sz w:val="22"/>
          <w:szCs w:val="22"/>
        </w:rPr>
        <w:t xml:space="preserve">Threats shall be identified from the following sources: historical incident data, threat intelligence feeds and industry reports, vulnerability scanning results, third-party risk assessments, and regulatory and compliance requirements.</w:t>
      </w:r>
    </w:p>
    <w:p>
      <w:pPr>
        <w:pStyle w:val="Heading2"/>
      </w:pPr>
      <w:r>
        <w:t xml:space="preserve">2.3 Vulnerability Assessment</w:t>
      </w:r>
    </w:p>
    <w:p>
      <w:pPr>
        <w:spacing w:after="160"/>
      </w:pPr>
      <w:r>
        <w:rPr>
          <w:rFonts w:ascii="Arial" w:cs="Arial" w:eastAsia="Arial" w:hAnsi="Arial"/>
          <w:sz w:val="22"/>
          <w:szCs w:val="22"/>
        </w:rPr>
        <w:t xml:space="preserve">Vulnerabilities shall be identified through regular vulnerability scanning of web applications and infrastructure, code review and static analysis, penetration testing (at least annually), configuration audits, and supplier security assessments.</w:t>
      </w:r>
    </w:p>
    <w:p>
      <w:pPr>
        <w:pStyle w:val="Heading2"/>
      </w:pPr>
      <w:r>
        <w:t xml:space="preserve">2.4 Risk Scoring</w:t>
      </w:r>
    </w:p>
    <w:p>
      <w:pPr>
        <w:spacing w:after="160"/>
      </w:pPr>
      <w:r>
        <w:rPr>
          <w:rFonts w:ascii="Arial" w:cs="Arial" w:eastAsia="Arial" w:hAnsi="Arial"/>
          <w:sz w:val="22"/>
          <w:szCs w:val="22"/>
        </w:rPr>
        <w:t xml:space="preserve">Each identified risk shall be scored using a 5x5 likelihood-impact matrix. Likelihood levels range from 1 (Rare) to 5 (Almost Certain). Impact levels range from 1 (Negligible) to 5 (Critical). The risk score is calculated as Likelihood multiplied by Impact, producing a value between 1 and 25.</w:t>
      </w:r>
    </w:p>
    <w:p>
      <w:pPr>
        <w:pStyle w:val="Heading2"/>
      </w:pPr>
      <w:r>
        <w:t xml:space="preserve">2.5 Risk Acceptance Criteria</w:t>
      </w:r>
    </w:p>
    <w:p>
      <w:pPr>
        <w:spacing w:after="160"/>
      </w:pPr>
      <w:r>
        <w:rPr>
          <w:rFonts w:ascii="Arial" w:cs="Arial" w:eastAsia="Arial" w:hAnsi="Arial"/>
          <w:sz w:val="22"/>
          <w:szCs w:val="22"/>
        </w:rPr>
        <w:t xml:space="preserve">Risks scoring 1–4 (Low) may be accepted with documentation and annual review. Risks scoring 5–12 (Medium) require a documented treatment plan with defined timeline. Risks scoring 13–19 (High) require immediate treatment plan and management approval. Risks scoring 20–25 (Critical) require immediate action and executive notification.</w:t>
      </w:r>
    </w:p>
    <w:p>
      <w:pPr>
        <w:pStyle w:val="Heading1"/>
      </w:pPr>
      <w:r>
        <w:t xml:space="preserve">3. Risk Treatment</w:t>
      </w:r>
    </w:p>
    <w:p>
      <w:pPr>
        <w:spacing w:after="160"/>
      </w:pPr>
      <w:r>
        <w:rPr>
          <w:rFonts w:ascii="Arial" w:cs="Arial" w:eastAsia="Arial" w:hAnsi="Arial"/>
          <w:sz w:val="22"/>
          <w:szCs w:val="22"/>
        </w:rPr>
        <w:t xml:space="preserve">For each risk above the acceptance threshold, one of the following treatment options shall be selected and documented:</w:t>
      </w:r>
    </w:p>
    <w:p>
      <w:pPr>
        <w:pStyle w:val="ListParagraph"/>
        <w:numPr>
          <w:ilvl w:val="0"/>
          <w:numId w:val="2"/>
        </w:numPr>
        <w:spacing w:after="80"/>
      </w:pPr>
      <w:r>
        <w:rPr>
          <w:rFonts w:ascii="Arial" w:cs="Arial" w:eastAsia="Arial" w:hAnsi="Arial"/>
          <w:sz w:val="22"/>
          <w:szCs w:val="22"/>
        </w:rPr>
        <w:t xml:space="preserve">Mitigate: Implement controls to reduce likelihood or impact to an acceptable level</w:t>
      </w:r>
    </w:p>
    <w:p>
      <w:pPr>
        <w:pStyle w:val="ListParagraph"/>
        <w:numPr>
          <w:ilvl w:val="0"/>
          <w:numId w:val="3"/>
        </w:numPr>
        <w:spacing w:after="80"/>
      </w:pPr>
      <w:r>
        <w:rPr>
          <w:rFonts w:ascii="Arial" w:cs="Arial" w:eastAsia="Arial" w:hAnsi="Arial"/>
          <w:sz w:val="22"/>
          <w:szCs w:val="22"/>
        </w:rPr>
        <w:t xml:space="preserve">Transfer: Transfer the risk through insurance, contractual indemnification, or outsourcing to a qualified provider</w:t>
      </w:r>
    </w:p>
    <w:p>
      <w:pPr>
        <w:pStyle w:val="ListParagraph"/>
        <w:numPr>
          <w:ilvl w:val="0"/>
          <w:numId w:val="4"/>
        </w:numPr>
        <w:spacing w:after="80"/>
      </w:pPr>
      <w:r>
        <w:rPr>
          <w:rFonts w:ascii="Arial" w:cs="Arial" w:eastAsia="Arial" w:hAnsi="Arial"/>
          <w:sz w:val="22"/>
          <w:szCs w:val="22"/>
        </w:rPr>
        <w:t xml:space="preserve">Avoid: Eliminate the risk by discontinuing the activity or removing the asset</w:t>
      </w:r>
    </w:p>
    <w:p>
      <w:pPr>
        <w:pStyle w:val="ListParagraph"/>
        <w:numPr>
          <w:ilvl w:val="0"/>
          <w:numId w:val="5"/>
        </w:numPr>
        <w:spacing w:after="80"/>
      </w:pPr>
      <w:r>
        <w:rPr>
          <w:rFonts w:ascii="Arial" w:cs="Arial" w:eastAsia="Arial" w:hAnsi="Arial"/>
          <w:sz w:val="22"/>
          <w:szCs w:val="22"/>
        </w:rPr>
        <w:t xml:space="preserve">Accept: Accept the residual risk with formal management approval and documented justification</w:t>
      </w:r>
    </w:p>
    <w:p>
      <w:pPr>
        <w:pStyle w:val="Heading1"/>
      </w:pPr>
      <w:r>
        <w:t xml:space="preserve">4. SafeRedact-Specific Risk Considerations</w:t>
      </w:r>
    </w:p>
    <w:p>
      <w:pPr>
        <w:pStyle w:val="Heading2"/>
      </w:pPr>
      <w:r>
        <w:t xml:space="preserve">4.1 Zero-Storage Architecture</w:t>
      </w:r>
    </w:p>
    <w:p>
      <w:pPr>
        <w:spacing w:after="160"/>
      </w:pPr>
      <w:r>
        <w:rPr>
          <w:rFonts w:ascii="Arial" w:cs="Arial" w:eastAsia="Arial" w:hAnsi="Arial"/>
          <w:sz w:val="22"/>
          <w:szCs w:val="22"/>
        </w:rPr>
        <w:t xml:space="preserve">SafeRedact’s browser-based processing model eliminates many traditional data-at-rest risks. The risk assessment shall specifically account for the fact that customer documents are processed client-side and never stored on SafeRedact infrastructure, that the primary data-at-rest risk is limited to user account data (email, subscription status) in Supabase, and that API calls to Anthropic for AI-assisted redaction use a no-retention agreement.</w:t>
      </w:r>
    </w:p>
    <w:p>
      <w:pPr>
        <w:pStyle w:val="Heading2"/>
      </w:pPr>
      <w:r>
        <w:t xml:space="preserve">4.2 Enterprise DSAR Processing</w:t>
      </w:r>
    </w:p>
    <w:p>
      <w:pPr>
        <w:spacing w:after="160"/>
      </w:pPr>
      <w:r>
        <w:rPr>
          <w:rFonts w:ascii="Arial" w:cs="Arial" w:eastAsia="Arial" w:hAnsi="Arial"/>
          <w:sz w:val="22"/>
          <w:szCs w:val="22"/>
        </w:rPr>
        <w:t xml:space="preserve">DSAR processing introduces additional risks that must be assessed separately, including temporary handling of data subject files during processing, accuracy of PII detection across multiple formats (MSG, PDF, DOCX, XLSX), and compliance with customer-specific DPA requirements and regulatory deadlines.</w:t>
      </w:r>
    </w:p>
    <w:p>
      <w:pPr>
        <w:pStyle w:val="Heading1"/>
      </w:pPr>
      <w:r>
        <w:t xml:space="preserve">5. Risk Register</w:t>
      </w:r>
    </w:p>
    <w:p>
      <w:pPr>
        <w:spacing w:after="160"/>
      </w:pPr>
      <w:r>
        <w:rPr>
          <w:rFonts w:ascii="Arial" w:cs="Arial" w:eastAsia="Arial" w:hAnsi="Arial"/>
          <w:sz w:val="22"/>
          <w:szCs w:val="22"/>
        </w:rPr>
        <w:t xml:space="preserve">A Risk Register shall be maintained documenting each identified risk with a unique identifier, the asset and threat/vulnerability combination, current risk score, treatment decision and plan, control owner, implementation status, residual risk score, and review date.</w:t>
      </w:r>
    </w:p>
    <w:p>
      <w:pPr>
        <w:pStyle w:val="Heading1"/>
      </w:pPr>
      <w:r>
        <w:t xml:space="preserve">6. Monitoring and Review</w:t>
      </w:r>
    </w:p>
    <w:p>
      <w:pPr>
        <w:spacing w:after="160"/>
      </w:pPr>
      <w:r>
        <w:rPr>
          <w:rFonts w:ascii="Arial" w:cs="Arial" w:eastAsia="Arial" w:hAnsi="Arial"/>
          <w:sz w:val="22"/>
          <w:szCs w:val="22"/>
        </w:rPr>
        <w:t xml:space="preserve">The risk assessment shall be reviewed in full at least annually, whenever significant changes occur to systems or processes, following any security incident, when new threats or vulnerabilities are identified, and before introducing new services or subprocessors. The Risk Register shall be a living document updated continuously as new information becomes available.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2026-03-16T17:50:40.294Z</dcterms:created>
  <dcterms:modified xsi:type="dcterms:W3CDTF">2026-03-16T17:50:40.294Z</dcterms:modified>
</cp:coreProperties>
</file>

<file path=docProps/custom.xml><?xml version="1.0" encoding="utf-8"?>
<Properties xmlns="http://schemas.openxmlformats.org/officeDocument/2006/custom-properties" xmlns:vt="http://schemas.openxmlformats.org/officeDocument/2006/docPropsVTypes"/>
</file>