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color w:val="718096"/>
          <w:sz w:val="28"/>
          <w:szCs w:val="28"/>
        </w:rPr>
        <w:t xml:space="preserve">Cambridge Holdings, LLC</w:t>
      </w:r>
    </w:p>
    <w:p>
      <w:pPr>
        <w:spacing w:after="400"/>
        <w:jc w:val="center"/>
      </w:pPr>
      <w:r>
        <w:rPr>
          <w:rFonts w:ascii="Arial" w:cs="Arial" w:eastAsia="Arial" w:hAnsi="Arial"/>
          <w:b/>
          <w:bCs/>
          <w:color w:val="1a1a2e"/>
          <w:sz w:val="48"/>
          <w:szCs w:val="48"/>
        </w:rPr>
        <w:t xml:space="preserve">SafeRedact</w:t>
      </w:r>
    </w:p>
    <w:p>
      <w:pPr>
        <w:spacing w:after="200"/>
        <w:jc w:val="center"/>
      </w:pPr>
      <w:r>
        <w:rPr>
          <w:rFonts w:ascii="Arial" w:cs="Arial" w:eastAsia="Arial" w:hAnsi="Arial"/>
          <w:color w:val="2d3748"/>
          <w:sz w:val="36"/>
          <w:szCs w:val="36"/>
        </w:rPr>
        <w:t xml:space="preserve">Access Control Policy</w:t>
      </w:r>
    </w:p>
    <w:p>
      <w:pPr>
        <w:spacing w:after="600"/>
        <w:jc w:val="center"/>
      </w:pPr>
      <w:r>
        <w:rPr>
          <w:rFonts w:ascii="Arial" w:cs="Arial" w:eastAsia="Arial" w:hAnsi="Arial"/>
          <w:i/>
          <w:iCs/>
          <w:color w:val="718096"/>
          <w:sz w:val="24"/>
          <w:szCs w:val="24"/>
        </w:rPr>
        <w:t xml:space="preserve">ISO 27001 A.5.15–A.5.18 / SOC 2 CC6.1–CC6.8</w:t>
      </w:r>
    </w:p>
    <w:p>
      <w:pPr>
        <w:spacing w:before="2000"/>
      </w:pP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tblGrid>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Document Owner</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Paul (Information Security Officer)</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Organization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Cambridge Holdings, LLC</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1.0</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Effective Date</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2026</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Next Review</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2027</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Classification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Internal / Confidential</w:t>
            </w:r>
          </w:p>
        </w:tc>
      </w:tr>
    </w:tbl>
    <w:p>
      <w:r>
        <w:br w:type="page"/>
      </w:r>
    </w:p>
    <w:p>
      <w:pPr>
        <w:pStyle w:val="Heading1"/>
      </w:pPr>
      <w:r>
        <w:t xml:space="preserve">1. Purpose</w:t>
      </w:r>
    </w:p>
    <w:p>
      <w:pPr>
        <w:spacing w:after="160"/>
      </w:pPr>
      <w:r>
        <w:rPr>
          <w:rFonts w:ascii="Arial" w:cs="Arial" w:eastAsia="Arial" w:hAnsi="Arial"/>
          <w:sz w:val="22"/>
          <w:szCs w:val="22"/>
        </w:rPr>
        <w:t xml:space="preserve">This policy defines the rules and procedures for controlling access to SafeRedact information systems and data. It addresses ISO 27001:2022 Annex A controls A.5.15–A.5.18, A.8.2–A.8.5, and SOC 2 Logical and Physical Access Controls (CC6.1–CC6.8).</w:t>
      </w:r>
    </w:p>
    <w:p>
      <w:pPr>
        <w:pStyle w:val="Heading1"/>
      </w:pPr>
      <w:r>
        <w:t xml:space="preserve">2. Access Control Principles</w:t>
      </w:r>
    </w:p>
    <w:p>
      <w:pPr>
        <w:spacing w:after="160"/>
      </w:pPr>
      <w:r>
        <w:rPr>
          <w:rFonts w:ascii="Arial" w:cs="Arial" w:eastAsia="Arial" w:hAnsi="Arial"/>
          <w:sz w:val="22"/>
          <w:szCs w:val="22"/>
        </w:rPr>
        <w:t xml:space="preserve">All access shall be governed by the following principles:</w:t>
      </w:r>
    </w:p>
    <w:p>
      <w:pPr>
        <w:pStyle w:val="ListParagraph"/>
        <w:numPr>
          <w:ilvl w:val="0"/>
          <w:numId w:val="2"/>
        </w:numPr>
        <w:spacing w:after="80"/>
      </w:pPr>
      <w:r>
        <w:rPr>
          <w:rFonts w:ascii="Arial" w:cs="Arial" w:eastAsia="Arial" w:hAnsi="Arial"/>
          <w:sz w:val="22"/>
          <w:szCs w:val="22"/>
        </w:rPr>
        <w:t xml:space="preserve">Least Privilege: Users shall be granted the minimum access necessary to perform their job functions</w:t>
      </w:r>
    </w:p>
    <w:p>
      <w:pPr>
        <w:pStyle w:val="ListParagraph"/>
        <w:numPr>
          <w:ilvl w:val="0"/>
          <w:numId w:val="3"/>
        </w:numPr>
        <w:spacing w:after="80"/>
      </w:pPr>
      <w:r>
        <w:rPr>
          <w:rFonts w:ascii="Arial" w:cs="Arial" w:eastAsia="Arial" w:hAnsi="Arial"/>
          <w:sz w:val="22"/>
          <w:szCs w:val="22"/>
        </w:rPr>
        <w:t xml:space="preserve">Need-to-Know: Access to information shall be restricted to those with a legitimate business need</w:t>
      </w:r>
    </w:p>
    <w:p>
      <w:pPr>
        <w:pStyle w:val="ListParagraph"/>
        <w:numPr>
          <w:ilvl w:val="0"/>
          <w:numId w:val="4"/>
        </w:numPr>
        <w:spacing w:after="80"/>
      </w:pPr>
      <w:r>
        <w:rPr>
          <w:rFonts w:ascii="Arial" w:cs="Arial" w:eastAsia="Arial" w:hAnsi="Arial"/>
          <w:sz w:val="22"/>
          <w:szCs w:val="22"/>
        </w:rPr>
        <w:t xml:space="preserve">Segregation of Duties: No single individual shall have unchecked control over critical operations</w:t>
      </w:r>
    </w:p>
    <w:p>
      <w:pPr>
        <w:pStyle w:val="ListParagraph"/>
        <w:numPr>
          <w:ilvl w:val="0"/>
          <w:numId w:val="5"/>
        </w:numPr>
        <w:spacing w:after="80"/>
      </w:pPr>
      <w:r>
        <w:rPr>
          <w:rFonts w:ascii="Arial" w:cs="Arial" w:eastAsia="Arial" w:hAnsi="Arial"/>
          <w:sz w:val="22"/>
          <w:szCs w:val="22"/>
        </w:rPr>
        <w:t xml:space="preserve">Defense in Depth: Multiple layers of access controls shall be implemented</w:t>
      </w:r>
    </w:p>
    <w:p>
      <w:pPr>
        <w:pStyle w:val="Heading1"/>
      </w:pPr>
      <w:r>
        <w:t xml:space="preserve">3. User Account Management</w:t>
      </w:r>
    </w:p>
    <w:p>
      <w:pPr>
        <w:pStyle w:val="Heading2"/>
      </w:pPr>
      <w:r>
        <w:t xml:space="preserve">3.1 Account Provisioning</w:t>
      </w:r>
    </w:p>
    <w:p>
      <w:pPr>
        <w:spacing w:after="160"/>
      </w:pPr>
      <w:r>
        <w:rPr>
          <w:rFonts w:ascii="Arial" w:cs="Arial" w:eastAsia="Arial" w:hAnsi="Arial"/>
          <w:sz w:val="22"/>
          <w:szCs w:val="22"/>
        </w:rPr>
        <w:t xml:space="preserve">All user accounts shall be created through a formal request and approval process. Each account shall be associated with an identifiable individual; shared accounts are prohibited except for documented service accounts. Account privileges shall be documented and match the user’s approved role.</w:t>
      </w:r>
    </w:p>
    <w:p>
      <w:pPr>
        <w:pStyle w:val="Heading2"/>
      </w:pPr>
      <w:r>
        <w:t xml:space="preserve">3.2 Account Review</w:t>
      </w:r>
    </w:p>
    <w:p>
      <w:pPr>
        <w:spacing w:after="160"/>
      </w:pPr>
      <w:r>
        <w:rPr>
          <w:rFonts w:ascii="Arial" w:cs="Arial" w:eastAsia="Arial" w:hAnsi="Arial"/>
          <w:sz w:val="22"/>
          <w:szCs w:val="22"/>
        </w:rPr>
        <w:t xml:space="preserve">All user accounts and their privileges shall be reviewed quarterly. Accounts inactive for more than 90 days shall be disabled. Access rights shall be modified promptly when a user changes roles. All access shall be revoked within 24 hours of employment termination.</w:t>
      </w:r>
    </w:p>
    <w:p>
      <w:pPr>
        <w:pStyle w:val="Heading2"/>
      </w:pPr>
      <w:r>
        <w:t xml:space="preserve">3.3 Privileged Access</w:t>
      </w:r>
    </w:p>
    <w:p>
      <w:pPr>
        <w:spacing w:after="160"/>
      </w:pPr>
      <w:r>
        <w:rPr>
          <w:rFonts w:ascii="Arial" w:cs="Arial" w:eastAsia="Arial" w:hAnsi="Arial"/>
          <w:sz w:val="22"/>
          <w:szCs w:val="22"/>
        </w:rPr>
        <w:t xml:space="preserve">Administrative and privileged access shall require additional approval from the Information Security Officer. Privileged sessions shall be logged and monitored. Privileged accounts shall not be used for routine activities.</w:t>
      </w:r>
    </w:p>
    <w:p>
      <w:pPr>
        <w:pStyle w:val="Heading1"/>
      </w:pPr>
      <w:r>
        <w:t xml:space="preserve">4. Authentication Requirements</w:t>
      </w:r>
    </w:p>
    <w:p>
      <w:pPr>
        <w:pStyle w:val="Heading2"/>
      </w:pPr>
      <w:r>
        <w:t xml:space="preserve">4.1 Password Policy</w:t>
      </w:r>
    </w:p>
    <w:p>
      <w:pPr>
        <w:spacing w:after="160"/>
      </w:pPr>
      <w:r>
        <w:rPr>
          <w:rFonts w:ascii="Arial" w:cs="Arial" w:eastAsia="Arial" w:hAnsi="Arial"/>
          <w:sz w:val="22"/>
          <w:szCs w:val="22"/>
        </w:rPr>
        <w:t xml:space="preserve">Minimum password length: 12 characters. Passwords must include a mix of uppercase, lowercase, numbers, and special characters. Password reuse is prohibited for the last 12 passwords. Passwords shall be changed immediately if compromise is suspected.</w:t>
      </w:r>
    </w:p>
    <w:p>
      <w:pPr>
        <w:pStyle w:val="Heading2"/>
      </w:pPr>
      <w:r>
        <w:t xml:space="preserve">4.2 Multi-Factor Authentication</w:t>
      </w:r>
    </w:p>
    <w:p>
      <w:pPr>
        <w:spacing w:after="160"/>
      </w:pPr>
      <w:r>
        <w:rPr>
          <w:rFonts w:ascii="Arial" w:cs="Arial" w:eastAsia="Arial" w:hAnsi="Arial"/>
          <w:sz w:val="22"/>
          <w:szCs w:val="22"/>
        </w:rPr>
        <w:t xml:space="preserve">MFA is required for all production systems including:</w:t>
      </w:r>
    </w:p>
    <w:p>
      <w:pPr>
        <w:pStyle w:val="ListParagraph"/>
        <w:numPr>
          <w:ilvl w:val="0"/>
          <w:numId w:val="6"/>
        </w:numPr>
        <w:spacing w:after="80"/>
      </w:pPr>
      <w:r>
        <w:rPr>
          <w:rFonts w:ascii="Arial" w:cs="Arial" w:eastAsia="Arial" w:hAnsi="Arial"/>
          <w:sz w:val="22"/>
          <w:szCs w:val="22"/>
        </w:rPr>
        <w:t xml:space="preserve">Supabase dashboard and database access</w:t>
      </w:r>
    </w:p>
    <w:p>
      <w:pPr>
        <w:pStyle w:val="ListParagraph"/>
        <w:numPr>
          <w:ilvl w:val="0"/>
          <w:numId w:val="7"/>
        </w:numPr>
        <w:spacing w:after="80"/>
      </w:pPr>
      <w:r>
        <w:rPr>
          <w:rFonts w:ascii="Arial" w:cs="Arial" w:eastAsia="Arial" w:hAnsi="Arial"/>
          <w:sz w:val="22"/>
          <w:szCs w:val="22"/>
        </w:rPr>
        <w:t xml:space="preserve">Vercel deployment platform</w:t>
      </w:r>
    </w:p>
    <w:p>
      <w:pPr>
        <w:pStyle w:val="ListParagraph"/>
        <w:numPr>
          <w:ilvl w:val="0"/>
          <w:numId w:val="8"/>
        </w:numPr>
        <w:spacing w:after="80"/>
      </w:pPr>
      <w:r>
        <w:rPr>
          <w:rFonts w:ascii="Arial" w:cs="Arial" w:eastAsia="Arial" w:hAnsi="Arial"/>
          <w:sz w:val="22"/>
          <w:szCs w:val="22"/>
        </w:rPr>
        <w:t xml:space="preserve">GitHub repositories</w:t>
      </w:r>
    </w:p>
    <w:p>
      <w:pPr>
        <w:pStyle w:val="ListParagraph"/>
        <w:numPr>
          <w:ilvl w:val="0"/>
          <w:numId w:val="9"/>
        </w:numPr>
        <w:spacing w:after="80"/>
      </w:pPr>
      <w:r>
        <w:rPr>
          <w:rFonts w:ascii="Arial" w:cs="Arial" w:eastAsia="Arial" w:hAnsi="Arial"/>
          <w:sz w:val="22"/>
          <w:szCs w:val="22"/>
        </w:rPr>
        <w:t xml:space="preserve">DNS management (domain registrar)</w:t>
      </w:r>
    </w:p>
    <w:p>
      <w:pPr>
        <w:pStyle w:val="ListParagraph"/>
        <w:numPr>
          <w:ilvl w:val="0"/>
          <w:numId w:val="10"/>
        </w:numPr>
        <w:spacing w:after="80"/>
      </w:pPr>
      <w:r>
        <w:rPr>
          <w:rFonts w:ascii="Arial" w:cs="Arial" w:eastAsia="Arial" w:hAnsi="Arial"/>
          <w:sz w:val="22"/>
          <w:szCs w:val="22"/>
        </w:rPr>
        <w:t xml:space="preserve">Stripe payment administration</w:t>
      </w:r>
    </w:p>
    <w:p>
      <w:pPr>
        <w:pStyle w:val="ListParagraph"/>
        <w:numPr>
          <w:ilvl w:val="0"/>
          <w:numId w:val="11"/>
        </w:numPr>
        <w:spacing w:after="80"/>
      </w:pPr>
      <w:r>
        <w:rPr>
          <w:rFonts w:ascii="Arial" w:cs="Arial" w:eastAsia="Arial" w:hAnsi="Arial"/>
          <w:sz w:val="22"/>
          <w:szCs w:val="22"/>
        </w:rPr>
        <w:t xml:space="preserve">Anthropic API management console</w:t>
      </w:r>
    </w:p>
    <w:p>
      <w:pPr>
        <w:pStyle w:val="ListParagraph"/>
        <w:numPr>
          <w:ilvl w:val="0"/>
          <w:numId w:val="12"/>
        </w:numPr>
        <w:spacing w:after="80"/>
      </w:pPr>
      <w:r>
        <w:rPr>
          <w:rFonts w:ascii="Arial" w:cs="Arial" w:eastAsia="Arial" w:hAnsi="Arial"/>
          <w:sz w:val="22"/>
          <w:szCs w:val="22"/>
        </w:rPr>
        <w:t xml:space="preserve">Email accounts used for SafeRedact operations</w:t>
      </w:r>
    </w:p>
    <w:p>
      <w:pPr>
        <w:pStyle w:val="Heading1"/>
      </w:pPr>
      <w:r>
        <w:t xml:space="preserve">5. API Key and Token Management</w:t>
      </w:r>
    </w:p>
    <w:p>
      <w:pPr>
        <w:spacing w:after="160"/>
      </w:pPr>
      <w:r>
        <w:rPr>
          <w:rFonts w:ascii="Arial" w:cs="Arial" w:eastAsia="Arial" w:hAnsi="Arial"/>
          <w:sz w:val="22"/>
          <w:szCs w:val="22"/>
        </w:rPr>
        <w:t xml:space="preserve">All API keys and tokens shall be stored in environment variables or secrets management systems, never in source code or documentation. Tokens shall have defined expiration dates and be rotated according to the following schedule: GitHub Personal Access Tokens rotated at least every 90 days, Anthropic API keys rotated annually or upon suspected compromise, Supabase service role keys rotated annually, and Stripe API keys rotated annually.</w:t>
      </w:r>
    </w:p>
    <w:p>
      <w:pPr>
        <w:pStyle w:val="Heading1"/>
      </w:pPr>
      <w:r>
        <w:t xml:space="preserve">6. Customer Access Controls</w:t>
      </w:r>
    </w:p>
    <w:p>
      <w:pPr>
        <w:spacing w:after="160"/>
      </w:pPr>
      <w:r>
        <w:rPr>
          <w:rFonts w:ascii="Arial" w:cs="Arial" w:eastAsia="Arial" w:hAnsi="Arial"/>
          <w:sz w:val="22"/>
          <w:szCs w:val="22"/>
        </w:rPr>
        <w:t xml:space="preserve">SafeRedact customer access is managed through Supabase Auth. Customer accounts use email-based authentication with email verification required. Enterprise customers may request SSO integration (SAML/OIDC). Row-level security (RLS) policies in Supabase ensure customers can only access their own data. The UNLIMITED_EMAILS bypass is restricted to designated administrative accounts only.</w:t>
      </w:r>
    </w:p>
    <w:p>
      <w:pPr>
        <w:pStyle w:val="Heading1"/>
      </w:pPr>
      <w:r>
        <w:t xml:space="preserve">7. Physical Access</w:t>
      </w:r>
    </w:p>
    <w:p>
      <w:pPr>
        <w:spacing w:after="160"/>
      </w:pPr>
      <w:r>
        <w:rPr>
          <w:rFonts w:ascii="Arial" w:cs="Arial" w:eastAsia="Arial" w:hAnsi="Arial"/>
          <w:sz w:val="22"/>
          <w:szCs w:val="22"/>
        </w:rPr>
        <w:t xml:space="preserve">As a cloud-native SaaS product, SafeRedact does not operate physical data centers. Physical security is delegated to infrastructure providers: Vercel (AWS/GCP data centers with SOC 2 attestation), Supabase (AWS data centers with SOC 2 attestation), and Anthropic (SOC 2 attested infrastructure). Workstations used for SafeRedact development and administration shall be physically secured, use full-disk encryption, and auto-lock after 5 minutes of inactivity.</w:t>
      </w:r>
    </w:p>
    <w:p>
      <w:pPr>
        <w:pStyle w:val="Heading1"/>
      </w:pPr>
      <w:r>
        <w:t xml:space="preserve">8. Remote Access</w:t>
      </w:r>
    </w:p>
    <w:p>
      <w:pPr>
        <w:spacing w:after="160"/>
      </w:pPr>
      <w:r>
        <w:rPr>
          <w:rFonts w:ascii="Arial" w:cs="Arial" w:eastAsia="Arial" w:hAnsi="Arial"/>
          <w:sz w:val="22"/>
          <w:szCs w:val="22"/>
        </w:rPr>
        <w:t xml:space="preserve">All remote access to production systems shall use encrypted connections (TLS 1.2+). VPN or SSH tunneling shall be used for database access. Public Wi-Fi shall not be used for administrative access without VPN.</w:t>
      </w:r>
    </w:p>
    <w:p>
      <w:pPr>
        <w:pStyle w:val="Heading1"/>
      </w:pPr>
      <w:r>
        <w:t xml:space="preserve">9. Access Logging and Monitoring</w:t>
      </w:r>
    </w:p>
    <w:p>
      <w:pPr>
        <w:spacing w:after="160"/>
      </w:pPr>
      <w:r>
        <w:rPr>
          <w:rFonts w:ascii="Arial" w:cs="Arial" w:eastAsia="Arial" w:hAnsi="Arial"/>
          <w:sz w:val="22"/>
          <w:szCs w:val="22"/>
        </w:rPr>
        <w:t xml:space="preserve">All authentication events (successful and failed) shall be logged. Logs shall be retained for a minimum of 12 months. Anomalous access patterns shall trigger alerts for investigation. Administrative actions shall be logged with the identity of the actor, timestamp, and action performed.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0AEC0"/>
        <w:sz w:val="16"/>
        <w:szCs w:val="16"/>
      </w:rPr>
      <w:t xml:space="preserve">Cambridge Holdings, LLC — SafeRedact — Confidential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d374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2026-03-16T17:50:40.298Z</dcterms:created>
  <dcterms:modified xsi:type="dcterms:W3CDTF">2026-03-16T17:50:40.298Z</dcterms:modified>
</cp:coreProperties>
</file>

<file path=docProps/custom.xml><?xml version="1.0" encoding="utf-8"?>
<Properties xmlns="http://schemas.openxmlformats.org/officeDocument/2006/custom-properties" xmlns:vt="http://schemas.openxmlformats.org/officeDocument/2006/docPropsVTypes"/>
</file>