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00"/>
      </w:pPr>
    </w:p>
    <w:p>
      <w:pPr>
        <w:spacing w:after="200"/>
        <w:jc w:val="center"/>
      </w:pPr>
      <w:r>
        <w:rPr>
          <w:rFonts w:ascii="Arial" w:cs="Arial" w:eastAsia="Arial" w:hAnsi="Arial"/>
          <w:color w:val="718096"/>
          <w:sz w:val="28"/>
          <w:szCs w:val="28"/>
        </w:rPr>
        <w:t xml:space="preserve">Cambridge Holdings, LLC</w:t>
      </w:r>
    </w:p>
    <w:p>
      <w:pPr>
        <w:spacing w:after="400"/>
        <w:jc w:val="center"/>
      </w:pPr>
      <w:r>
        <w:rPr>
          <w:rFonts w:ascii="Arial" w:cs="Arial" w:eastAsia="Arial" w:hAnsi="Arial"/>
          <w:b/>
          <w:bCs/>
          <w:color w:val="1a1a2e"/>
          <w:sz w:val="48"/>
          <w:szCs w:val="48"/>
        </w:rPr>
        <w:t xml:space="preserve">SafeRedact</w:t>
      </w:r>
    </w:p>
    <w:p>
      <w:pPr>
        <w:spacing w:after="200"/>
        <w:jc w:val="center"/>
      </w:pPr>
      <w:r>
        <w:rPr>
          <w:rFonts w:ascii="Arial" w:cs="Arial" w:eastAsia="Arial" w:hAnsi="Arial"/>
          <w:color w:val="2d3748"/>
          <w:sz w:val="36"/>
          <w:szCs w:val="36"/>
        </w:rPr>
        <w:t xml:space="preserve">Incident Response Policy</w:t>
      </w:r>
    </w:p>
    <w:p>
      <w:pPr>
        <w:spacing w:after="600"/>
        <w:jc w:val="center"/>
      </w:pPr>
      <w:r>
        <w:rPr>
          <w:rFonts w:ascii="Arial" w:cs="Arial" w:eastAsia="Arial" w:hAnsi="Arial"/>
          <w:i/>
          <w:iCs/>
          <w:color w:val="718096"/>
          <w:sz w:val="24"/>
          <w:szCs w:val="24"/>
        </w:rPr>
        <w:t xml:space="preserve">ISO 27001 A.5.24–A.5.28 / SOC 2 CC7.1–CC7.5</w:t>
      </w:r>
    </w:p>
    <w:p>
      <w:pPr>
        <w:spacing w:before="2000"/>
      </w:pPr>
    </w:p>
    <w:tbl>
      <w:tblPr>
        <w:tblW w:type="dxa" w:w="5400"/>
        <w:tblBorders>
          <w:top w:val="single" w:color="auto" w:sz="4"/>
          <w:left w:val="single" w:color="auto" w:sz="4"/>
          <w:bottom w:val="single" w:color="auto" w:sz="4"/>
          <w:right w:val="single" w:color="auto" w:sz="4"/>
          <w:insideH w:val="single" w:color="auto" w:sz="4"/>
          <w:insideV w:val="single" w:color="auto" w:sz="4"/>
        </w:tblBorders>
      </w:tblPr>
      <w:tblGrid>
        <w:gridCol w:w="2200"/>
        <w:gridCol w:w="3200"/>
      </w:tblGrid>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Document Owner</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Paul (Information Security Officer)</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Organization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Cambridge Holdings, LLC</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Version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1.0</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Effective Date</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2026</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Next Review</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March 16, 2027</w:t>
            </w:r>
          </w:p>
        </w:tc>
      </w:tr>
      <w:tr>
        <w:tc>
          <w:tcPr>
            <w:tcW w:type="dxa" w:w="2200"/>
            <w:tcBorders>
              <w:top w:val="single" w:color="CBD5E0" w:sz="1"/>
              <w:left w:val="single" w:color="CBD5E0" w:sz="1"/>
              <w:bottom w:val="single" w:color="CBD5E0" w:sz="1"/>
              <w:right w:val="single" w:color="CBD5E0" w:sz="1"/>
            </w:tcBorders>
            <w:shd w:fill="EDF2F7" w:val="clear"/>
            <w:tcMar>
              <w:top w:type="dxa" w:w="60"/>
              <w:left w:type="dxa" w:w="100"/>
              <w:bottom w:type="dxa" w:w="60"/>
              <w:right w:type="dxa" w:w="100"/>
            </w:tcMar>
          </w:tcPr>
          <w:p>
            <w:r>
              <w:rPr>
                <w:rFonts w:ascii="Arial" w:cs="Arial" w:eastAsia="Arial" w:hAnsi="Arial"/>
                <w:b/>
                <w:bCs/>
                <w:sz w:val="20"/>
                <w:szCs w:val="20"/>
              </w:rPr>
              <w:t xml:space="preserve">Classification</w:t>
            </w:r>
          </w:p>
        </w:tc>
        <w:tc>
          <w:tcPr>
            <w:tcW w:type="dxa" w:w="3200"/>
            <w:tcBorders>
              <w:top w:val="single" w:color="CBD5E0" w:sz="1"/>
              <w:left w:val="single" w:color="CBD5E0" w:sz="1"/>
              <w:bottom w:val="single" w:color="CBD5E0" w:sz="1"/>
              <w:right w:val="single" w:color="CBD5E0" w:sz="1"/>
            </w:tcBorders>
            <w:tcMar>
              <w:top w:type="dxa" w:w="60"/>
              <w:left w:type="dxa" w:w="100"/>
              <w:bottom w:type="dxa" w:w="60"/>
              <w:right w:type="dxa" w:w="100"/>
            </w:tcMar>
          </w:tcPr>
          <w:p>
            <w:r>
              <w:rPr>
                <w:rFonts w:ascii="Arial" w:cs="Arial" w:eastAsia="Arial" w:hAnsi="Arial"/>
                <w:sz w:val="20"/>
                <w:szCs w:val="20"/>
              </w:rPr>
              <w:t xml:space="preserve">Internal / Confidential</w:t>
            </w:r>
          </w:p>
        </w:tc>
      </w:tr>
    </w:tbl>
    <w:p>
      <w:r>
        <w:br w:type="page"/>
      </w:r>
    </w:p>
    <w:p>
      <w:pPr>
        <w:pStyle w:val="Heading1"/>
      </w:pPr>
      <w:r>
        <w:t xml:space="preserve">1. Purpose</w:t>
      </w:r>
    </w:p>
    <w:p>
      <w:pPr>
        <w:spacing w:after="160"/>
      </w:pPr>
      <w:r>
        <w:rPr>
          <w:rFonts w:ascii="Arial" w:cs="Arial" w:eastAsia="Arial" w:hAnsi="Arial"/>
          <w:sz w:val="22"/>
          <w:szCs w:val="22"/>
        </w:rPr>
        <w:t xml:space="preserve">This policy establishes the procedures for detecting, responding to, and recovering from information security incidents affecting SafeRedact. It satisfies ISO 27001:2022 Annex A controls A.5.24–A.5.28 and SOC 2 criteria CC7.1–CC7.5.</w:t>
      </w:r>
    </w:p>
    <w:p>
      <w:pPr>
        <w:pStyle w:val="Heading1"/>
      </w:pPr>
      <w:r>
        <w:t xml:space="preserve">2. Incident Classification</w:t>
      </w:r>
    </w:p>
    <w:p>
      <w:pPr>
        <w:pStyle w:val="Heading2"/>
      </w:pPr>
      <w:r>
        <w:t xml:space="preserve">2.1 Severity Levels</w:t>
      </w:r>
    </w:p>
    <w:p>
      <w:pPr>
        <w:spacing w:after="160"/>
      </w:pPr>
      <w:r>
        <w:rPr>
          <w:rFonts w:ascii="Arial" w:cs="Arial" w:eastAsia="Arial" w:hAnsi="Arial"/>
          <w:sz w:val="22"/>
          <w:szCs w:val="22"/>
        </w:rPr>
        <w:t xml:space="preserve">Severity 1 (Critical): Active data breach or compromise of customer data, complete service outage, or compromise of production credentials. Response time: Immediate (within 1 hour).</w:t>
      </w:r>
    </w:p>
    <w:p>
      <w:pPr>
        <w:spacing w:after="160"/>
      </w:pPr>
      <w:r>
        <w:rPr>
          <w:rFonts w:ascii="Arial" w:cs="Arial" w:eastAsia="Arial" w:hAnsi="Arial"/>
          <w:sz w:val="22"/>
          <w:szCs w:val="22"/>
        </w:rPr>
        <w:t xml:space="preserve">Severity 2 (High): Attempted unauthorized access, significant service degradation, vulnerability actively being exploited, or detection engine failure resulting in missed PII. Response time: Within 4 hours.</w:t>
      </w:r>
    </w:p>
    <w:p>
      <w:pPr>
        <w:spacing w:after="160"/>
      </w:pPr>
      <w:r>
        <w:rPr>
          <w:rFonts w:ascii="Arial" w:cs="Arial" w:eastAsia="Arial" w:hAnsi="Arial"/>
          <w:sz w:val="22"/>
          <w:szCs w:val="22"/>
        </w:rPr>
        <w:t xml:space="preserve">Severity 3 (Medium): Unsuccessful attack attempts, minor service issues, policy violations, or isolated false positives/negatives in detection. Response time: Within 24 hours.</w:t>
      </w:r>
    </w:p>
    <w:p>
      <w:pPr>
        <w:spacing w:after="160"/>
      </w:pPr>
      <w:r>
        <w:rPr>
          <w:rFonts w:ascii="Arial" w:cs="Arial" w:eastAsia="Arial" w:hAnsi="Arial"/>
          <w:sz w:val="22"/>
          <w:szCs w:val="22"/>
        </w:rPr>
        <w:t xml:space="preserve">Severity 4 (Low): Informational alerts, minor policy deviations, routine vulnerability findings. Response time: Within 72 hours.</w:t>
      </w:r>
    </w:p>
    <w:p>
      <w:pPr>
        <w:pStyle w:val="Heading1"/>
      </w:pPr>
      <w:r>
        <w:t xml:space="preserve">3. Incident Response Phases</w:t>
      </w:r>
    </w:p>
    <w:p>
      <w:pPr>
        <w:pStyle w:val="Heading2"/>
      </w:pPr>
      <w:r>
        <w:t xml:space="preserve">3.1 Detection and Identification</w:t>
      </w:r>
    </w:p>
    <w:p>
      <w:pPr>
        <w:spacing w:after="160"/>
      </w:pPr>
      <w:r>
        <w:rPr>
          <w:rFonts w:ascii="Arial" w:cs="Arial" w:eastAsia="Arial" w:hAnsi="Arial"/>
          <w:sz w:val="22"/>
          <w:szCs w:val="22"/>
        </w:rPr>
        <w:t xml:space="preserve">Security incidents may be identified through automated monitoring and alerting, user or customer reports, log analysis, vulnerability scanning, and third-party notifications. All personnel are required to report suspected incidents immediately to the Information Security Officer via email at support@saferedact.app or by direct communication.</w:t>
      </w:r>
    </w:p>
    <w:p>
      <w:pPr>
        <w:pStyle w:val="Heading2"/>
      </w:pPr>
      <w:r>
        <w:t xml:space="preserve">3.2 Containment</w:t>
      </w:r>
    </w:p>
    <w:p>
      <w:pPr>
        <w:spacing w:after="160"/>
      </w:pPr>
      <w:r>
        <w:rPr>
          <w:rFonts w:ascii="Arial" w:cs="Arial" w:eastAsia="Arial" w:hAnsi="Arial"/>
          <w:sz w:val="22"/>
          <w:szCs w:val="22"/>
        </w:rPr>
        <w:t xml:space="preserve">Upon identification of an incident, immediate containment actions shall be taken based on severity. For Severity 1 and 2 incidents, containment may include revoking compromised credentials, isolating affected systems, blocking malicious IP addresses, disabling compromised user accounts, and rolling back to a known-good deployment via Vercel.</w:t>
      </w:r>
    </w:p>
    <w:p>
      <w:pPr>
        <w:pStyle w:val="Heading2"/>
      </w:pPr>
      <w:r>
        <w:t xml:space="preserve">3.3 Eradication</w:t>
      </w:r>
    </w:p>
    <w:p>
      <w:pPr>
        <w:spacing w:after="160"/>
      </w:pPr>
      <w:r>
        <w:rPr>
          <w:rFonts w:ascii="Arial" w:cs="Arial" w:eastAsia="Arial" w:hAnsi="Arial"/>
          <w:sz w:val="22"/>
          <w:szCs w:val="22"/>
        </w:rPr>
        <w:t xml:space="preserve">The root cause of the incident shall be identified and eliminated. This may involve patching vulnerabilities, removing malicious code, updating configurations, rotating all potentially compromised secrets and tokens, and updating detection rules or monitoring.</w:t>
      </w:r>
    </w:p>
    <w:p>
      <w:pPr>
        <w:pStyle w:val="Heading2"/>
      </w:pPr>
      <w:r>
        <w:t xml:space="preserve">3.4 Recovery</w:t>
      </w:r>
    </w:p>
    <w:p>
      <w:pPr>
        <w:spacing w:after="160"/>
      </w:pPr>
      <w:r>
        <w:rPr>
          <w:rFonts w:ascii="Arial" w:cs="Arial" w:eastAsia="Arial" w:hAnsi="Arial"/>
          <w:sz w:val="22"/>
          <w:szCs w:val="22"/>
        </w:rPr>
        <w:t xml:space="preserve">Systems shall be restored to normal operations with verification that the threat has been eliminated, all indicators of compromise have been addressed, monitoring has been enhanced to detect recurrence, and affected stakeholders have been notified.</w:t>
      </w:r>
    </w:p>
    <w:p>
      <w:pPr>
        <w:pStyle w:val="Heading2"/>
      </w:pPr>
      <w:r>
        <w:t xml:space="preserve">3.5 Post-Incident Review</w:t>
      </w:r>
    </w:p>
    <w:p>
      <w:pPr>
        <w:spacing w:after="160"/>
      </w:pPr>
      <w:r>
        <w:rPr>
          <w:rFonts w:ascii="Arial" w:cs="Arial" w:eastAsia="Arial" w:hAnsi="Arial"/>
          <w:sz w:val="22"/>
          <w:szCs w:val="22"/>
        </w:rPr>
        <w:t xml:space="preserve">A post-incident review shall be conducted within 5 business days of incident resolution for all Severity 1 and 2 incidents. The review shall document the incident timeline and root cause, effectiveness of the response, lessons learned and improvement actions, and updates required to policies, procedures, or controls.</w:t>
      </w:r>
    </w:p>
    <w:p>
      <w:pPr>
        <w:pStyle w:val="Heading1"/>
      </w:pPr>
      <w:r>
        <w:t xml:space="preserve">4. Communication and Notification</w:t>
      </w:r>
    </w:p>
    <w:p>
      <w:pPr>
        <w:pStyle w:val="Heading2"/>
      </w:pPr>
      <w:r>
        <w:t xml:space="preserve">4.1 Internal Communication</w:t>
      </w:r>
    </w:p>
    <w:p>
      <w:pPr>
        <w:spacing w:after="160"/>
      </w:pPr>
      <w:r>
        <w:rPr>
          <w:rFonts w:ascii="Arial" w:cs="Arial" w:eastAsia="Arial" w:hAnsi="Arial"/>
          <w:sz w:val="22"/>
          <w:szCs w:val="22"/>
        </w:rPr>
        <w:t xml:space="preserve">The Information Security Officer shall be notified of all incidents. Leadership shall be notified of all Severity 1 and 2 incidents immediately. Incident status updates shall be provided at regular intervals until resolution.</w:t>
      </w:r>
    </w:p>
    <w:p>
      <w:pPr>
        <w:pStyle w:val="Heading2"/>
      </w:pPr>
      <w:r>
        <w:t xml:space="preserve">4.2 External Notification</w:t>
      </w:r>
    </w:p>
    <w:p>
      <w:pPr>
        <w:spacing w:after="160"/>
      </w:pPr>
      <w:r>
        <w:rPr>
          <w:rFonts w:ascii="Arial" w:cs="Arial" w:eastAsia="Arial" w:hAnsi="Arial"/>
          <w:sz w:val="22"/>
          <w:szCs w:val="22"/>
        </w:rPr>
        <w:t xml:space="preserve">Customer notification shall occur without undue delay for incidents affecting customer data, in accordance with DPA obligations and the following regulatory requirements:</w:t>
      </w:r>
    </w:p>
    <w:p>
      <w:pPr>
        <w:pStyle w:val="ListParagraph"/>
        <w:numPr>
          <w:ilvl w:val="0"/>
          <w:numId w:val="2"/>
        </w:numPr>
        <w:spacing w:after="80"/>
      </w:pPr>
      <w:r>
        <w:rPr>
          <w:rFonts w:ascii="Arial" w:cs="Arial" w:eastAsia="Arial" w:hAnsi="Arial"/>
          <w:sz w:val="22"/>
          <w:szCs w:val="22"/>
        </w:rPr>
        <w:t xml:space="preserve">UK GDPR: Notify the ICO within 72 hours where feasible; notify affected data subjects without undue delay if high risk</w:t>
      </w:r>
    </w:p>
    <w:p>
      <w:pPr>
        <w:pStyle w:val="ListParagraph"/>
        <w:numPr>
          <w:ilvl w:val="0"/>
          <w:numId w:val="3"/>
        </w:numPr>
        <w:spacing w:after="80"/>
      </w:pPr>
      <w:r>
        <w:rPr>
          <w:rFonts w:ascii="Arial" w:cs="Arial" w:eastAsia="Arial" w:hAnsi="Arial"/>
          <w:sz w:val="22"/>
          <w:szCs w:val="22"/>
        </w:rPr>
        <w:t xml:space="preserve">EU GDPR: Notify the supervisory authority within 72 hours; notify data subjects without undue delay if high risk</w:t>
      </w:r>
    </w:p>
    <w:p>
      <w:pPr>
        <w:pStyle w:val="ListParagraph"/>
        <w:numPr>
          <w:ilvl w:val="0"/>
          <w:numId w:val="4"/>
        </w:numPr>
        <w:spacing w:after="80"/>
      </w:pPr>
      <w:r>
        <w:rPr>
          <w:rFonts w:ascii="Arial" w:cs="Arial" w:eastAsia="Arial" w:hAnsi="Arial"/>
          <w:sz w:val="22"/>
          <w:szCs w:val="22"/>
        </w:rPr>
        <w:t xml:space="preserve">CCPA/CPRA: Notify affected California residents in the most expedient time possible and without unreasonable delay</w:t>
      </w:r>
    </w:p>
    <w:p>
      <w:pPr>
        <w:pStyle w:val="ListParagraph"/>
        <w:numPr>
          <w:ilvl w:val="0"/>
          <w:numId w:val="5"/>
        </w:numPr>
        <w:spacing w:after="80"/>
      </w:pPr>
      <w:r>
        <w:rPr>
          <w:rFonts w:ascii="Arial" w:cs="Arial" w:eastAsia="Arial" w:hAnsi="Arial"/>
          <w:sz w:val="22"/>
          <w:szCs w:val="22"/>
        </w:rPr>
        <w:t xml:space="preserve">Contractual: Per customer DPA terms, which may impose shorter notification windows</w:t>
      </w:r>
    </w:p>
    <w:p>
      <w:pPr>
        <w:pStyle w:val="Heading1"/>
      </w:pPr>
      <w:r>
        <w:t xml:space="preserve">5. Incident Register</w:t>
      </w:r>
    </w:p>
    <w:p>
      <w:pPr>
        <w:spacing w:after="160"/>
      </w:pPr>
      <w:r>
        <w:rPr>
          <w:rFonts w:ascii="Arial" w:cs="Arial" w:eastAsia="Arial" w:hAnsi="Arial"/>
          <w:sz w:val="22"/>
          <w:szCs w:val="22"/>
        </w:rPr>
        <w:t xml:space="preserve">All security incidents shall be recorded in the Incident Register with a unique identifier, date and time of detection, classification and severity, description and affected assets, containment and eradication actions, resolution and recovery actions, root cause analysis, and corrective and preventive measures.</w:t>
      </w:r>
    </w:p>
    <w:p>
      <w:pPr>
        <w:pStyle w:val="Heading1"/>
      </w:pPr>
      <w:r>
        <w:t xml:space="preserve">6. SafeRedact-Specific Incident Scenarios</w:t>
      </w:r>
    </w:p>
    <w:p>
      <w:pPr>
        <w:spacing w:after="160"/>
      </w:pPr>
      <w:r>
        <w:rPr>
          <w:rFonts w:ascii="Arial" w:cs="Arial" w:eastAsia="Arial" w:hAnsi="Arial"/>
          <w:sz w:val="22"/>
          <w:szCs w:val="22"/>
        </w:rPr>
        <w:t xml:space="preserve">The following scenarios require specific response procedures:</w:t>
      </w:r>
    </w:p>
    <w:p>
      <w:pPr>
        <w:pStyle w:val="ListParagraph"/>
        <w:numPr>
          <w:ilvl w:val="0"/>
          <w:numId w:val="6"/>
        </w:numPr>
        <w:spacing w:after="80"/>
      </w:pPr>
      <w:r>
        <w:rPr>
          <w:rFonts w:ascii="Arial" w:cs="Arial" w:eastAsia="Arial" w:hAnsi="Arial"/>
          <w:sz w:val="22"/>
          <w:szCs w:val="22"/>
        </w:rPr>
        <w:t xml:space="preserve">Detection Engine Failure: If the PII detection pipeline (inline regex, LLM prompt, or DSAR exclusion layers) fails to identify sensitive data, this is classified as minimum Severity 2. Response includes immediate investigation of the detection pipeline, notification of affected enterprise customers, and manual review of recently processed documents</w:t>
      </w:r>
    </w:p>
    <w:p>
      <w:pPr>
        <w:pStyle w:val="ListParagraph"/>
        <w:numPr>
          <w:ilvl w:val="0"/>
          <w:numId w:val="7"/>
        </w:numPr>
        <w:spacing w:after="80"/>
      </w:pPr>
      <w:r>
        <w:rPr>
          <w:rFonts w:ascii="Arial" w:cs="Arial" w:eastAsia="Arial" w:hAnsi="Arial"/>
          <w:sz w:val="22"/>
          <w:szCs w:val="22"/>
        </w:rPr>
        <w:t xml:space="preserve">API Key Compromise: Compromise of the Anthropic API key, Supabase service role key, or GitHub token requires immediate rotation and audit of all API calls made with the compromised key</w:t>
      </w:r>
    </w:p>
    <w:p>
      <w:pPr>
        <w:pStyle w:val="ListParagraph"/>
        <w:numPr>
          <w:ilvl w:val="0"/>
          <w:numId w:val="8"/>
        </w:numPr>
        <w:spacing w:after="80"/>
      </w:pPr>
      <w:r>
        <w:rPr>
          <w:rFonts w:ascii="Arial" w:cs="Arial" w:eastAsia="Arial" w:hAnsi="Arial"/>
          <w:sz w:val="22"/>
          <w:szCs w:val="22"/>
        </w:rPr>
        <w:t xml:space="preserve">Third-Party Breach: A security breach at Anthropic, Vercel, or Supabase requires immediate assessment of impact on SafeRedact, potential credential rotation, and customer notification if warranted</w:t>
      </w:r>
    </w:p>
    <w:p>
      <w:pPr>
        <w:pStyle w:val="Heading1"/>
      </w:pPr>
      <w:r>
        <w:t xml:space="preserve">7. Testing</w:t>
      </w:r>
    </w:p>
    <w:p>
      <w:pPr>
        <w:spacing w:after="160"/>
      </w:pPr>
      <w:r>
        <w:rPr>
          <w:rFonts w:ascii="Arial" w:cs="Arial" w:eastAsia="Arial" w:hAnsi="Arial"/>
          <w:sz w:val="22"/>
          <w:szCs w:val="22"/>
        </w:rPr>
        <w:t xml:space="preserve">Incident response procedures shall be tested at least annually through tabletop exercises or simulated incidents. Test results shall be documented and used to improve procedures.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A0AEC0"/>
        <w:sz w:val="16"/>
        <w:szCs w:val="16"/>
      </w:rPr>
      <w:t xml:space="preserve">Cambridge Holdings, LLC — SafeRedact — Confidential — Page </w:t>
    </w:r>
    <w:r>
      <w:rPr>
        <w:rFonts w:ascii="Arial" w:cs="Arial" w:eastAsia="Arial" w:hAnsi="Arial"/>
        <w:color w:val="A0AEC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bullet"/>
      <w:lvlText w:val="•"/>
      <w:lvlJc w:val="left"/>
      <w:pPr>
        <w:ind w:left="720" w:hanging="360"/>
      </w:pPr>
    </w:lvl>
  </w:abstractNum>
  <w:abstractNum w:abstractNumId="4" w15:restartNumberingAfterBreak="0">
    <w:multiLevelType w:val="hybridMultilevel"/>
    <w:lvl w:ilvl="0" w15:tentative="1">
      <w:start w:val="1"/>
      <w:numFmt w:val="bullet"/>
      <w:lvlText w:val="•"/>
      <w:lvlJc w:val="left"/>
      <w:pPr>
        <w:ind w:left="720" w:hanging="360"/>
      </w:pPr>
    </w:lvl>
  </w:abstractNum>
  <w:abstractNum w:abstractNumId="5" w15:restartNumberingAfterBreak="0">
    <w:multiLevelType w:val="hybridMultilevel"/>
    <w:lvl w:ilvl="0" w15:tentative="1">
      <w:start w:val="1"/>
      <w:numFmt w:val="bullet"/>
      <w:lvlText w:val="•"/>
      <w:lvlJc w:val="left"/>
      <w:pPr>
        <w:ind w:left="720" w:hanging="360"/>
      </w:pPr>
    </w:lvl>
  </w:abstractNum>
  <w:abstractNum w:abstractNumId="6" w15:restartNumberingAfterBreak="0">
    <w:multiLevelType w:val="hybridMultilevel"/>
    <w:lvl w:ilvl="0" w15:tentative="1">
      <w:start w:val="1"/>
      <w:numFmt w:val="bullet"/>
      <w:lvlText w:val="•"/>
      <w:lvlJc w:val="left"/>
      <w:pPr>
        <w:ind w:left="720" w:hanging="360"/>
      </w:pPr>
    </w:lvl>
  </w:abstractNum>
  <w:abstractNum w:abstractNumId="7" w15:restartNumberingAfterBreak="0">
    <w:multiLevelType w:val="hybridMultilevel"/>
    <w:lvl w:ilvl="0" w15:tentative="1">
      <w:start w:val="1"/>
      <w:numFmt w:val="bullet"/>
      <w:lvlText w:val="•"/>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abstractNum w:abstractNumId="9" w15:restartNumberingAfterBreak="0">
    <w:multiLevelType w:val="hybridMultilevel"/>
    <w:lvl w:ilvl="0" w15:tentative="1">
      <w:start w:val="1"/>
      <w:numFmt w:val="bullet"/>
      <w:lvlText w:val="•"/>
      <w:lvlJc w:val="left"/>
      <w:pPr>
        <w:ind w:left="720" w:hanging="360"/>
      </w:pPr>
    </w:lvl>
  </w:abstractNum>
  <w:abstractNum w:abstractNumId="10" w15:restartNumberingAfterBreak="0">
    <w:multiLevelType w:val="hybridMultilevel"/>
    <w:lvl w:ilvl="0" w15:tentative="1">
      <w:start w:val="1"/>
      <w:numFmt w:val="bullet"/>
      <w:lvlText w:val="•"/>
      <w:lvlJc w:val="left"/>
      <w:pPr>
        <w:ind w:left="720" w:hanging="360"/>
      </w:pPr>
    </w:lvl>
  </w:abstractNum>
  <w:abstractNum w:abstractNumId="11" w15:restartNumberingAfterBreak="0">
    <w:multiLevelType w:val="hybridMultilevel"/>
    <w:lvl w:ilvl="0" w15:tentative="1">
      <w:start w:val="1"/>
      <w:numFmt w:val="bullet"/>
      <w:lvlText w:val="•"/>
      <w:lvlJc w:val="left"/>
      <w:pPr>
        <w:ind w:left="720" w:hanging="360"/>
      </w:pPr>
    </w:lvl>
  </w:abstractNum>
  <w:abstractNum w:abstractNumId="12" w15:restartNumberingAfterBreak="0">
    <w:multiLevelType w:val="hybridMultilevel"/>
    <w:lvl w:ilvl="0" w15:tentative="1">
      <w:start w:val="1"/>
      <w:numFmt w:val="bullet"/>
      <w:lvlText w:val="•"/>
      <w:lvlJc w:val="left"/>
      <w:pPr>
        <w:ind w:left="720" w:hanging="360"/>
      </w:pPr>
    </w:lvl>
  </w:abstractNum>
  <w:abstractNum w:abstractNumId="13"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color w:val="1a1a2e"/>
      <w:sz w:val="32"/>
      <w:szCs w:val="32"/>
    </w:rPr>
  </w:style>
  <w:style w:type="paragraph" w:styleId="Heading2">
    <w:name w:val="Heading 2"/>
    <w:basedOn w:val="Normal"/>
    <w:next w:val="Normal"/>
    <w:qFormat/>
    <w:pPr>
      <w:spacing w:after="160" w:before="280"/>
      <w:outlineLvl w:val="1"/>
    </w:pPr>
    <w:rPr>
      <w:rFonts w:ascii="Arial" w:cs="Arial" w:eastAsia="Arial" w:hAnsi="Arial"/>
      <w:b/>
      <w:bCs/>
      <w:color w:val="2d3748"/>
      <w:sz w:val="26"/>
      <w:szCs w:val="26"/>
    </w:rPr>
  </w:style>
  <w:style w:type="paragraph" w:styleId="Heading3">
    <w:name w:val="Heading 3"/>
    <w:basedOn w:val="Normal"/>
    <w:next w:val="Normal"/>
    <w:qFormat/>
    <w:pPr>
      <w:spacing w:after="120" w:before="200"/>
      <w:outlineLvl w:val="2"/>
    </w:pPr>
    <w:rPr>
      <w:rFonts w:ascii="Arial" w:cs="Arial" w:eastAsia="Arial" w:hAnsi="Arial"/>
      <w:b/>
      <w:bCs/>
      <w:color w:val="4a5568"/>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2026-03-16T17:50:40.322Z</dcterms:created>
  <dcterms:modified xsi:type="dcterms:W3CDTF">2026-03-16T17:50:40.322Z</dcterms:modified>
</cp:coreProperties>
</file>

<file path=docProps/custom.xml><?xml version="1.0" encoding="utf-8"?>
<Properties xmlns="http://schemas.openxmlformats.org/officeDocument/2006/custom-properties" xmlns:vt="http://schemas.openxmlformats.org/officeDocument/2006/docPropsVTypes"/>
</file>