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Vendor and Supplier Management Policy</w:t>
      </w:r>
    </w:p>
    <w:p>
      <w:pPr>
        <w:spacing w:after="600"/>
        <w:jc w:val="center"/>
      </w:pPr>
      <w:r>
        <w:rPr>
          <w:rFonts w:ascii="Arial" w:cs="Arial" w:eastAsia="Arial" w:hAnsi="Arial"/>
          <w:i/>
          <w:iCs/>
          <w:color w:val="718096"/>
          <w:sz w:val="24"/>
          <w:szCs w:val="24"/>
        </w:rPr>
        <w:t xml:space="preserve">ISO 27001 A.5.19–A.5.23 / SOC 2 CC9.1–CC9.2</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defines the requirements for assessing, selecting, and monitoring third-party vendors and suppliers that have access to SafeRedact information assets or provide services critical to SafeRedact operations. It addresses ISO 27001:2022 Annex A controls A.5.19–A.5.23 and SOC 2 criteria CC9.1–CC9.2.</w:t>
      </w:r>
    </w:p>
    <w:p>
      <w:pPr>
        <w:pStyle w:val="Heading1"/>
      </w:pPr>
      <w:r>
        <w:t xml:space="preserve">2. Vendor Classification</w:t>
      </w:r>
    </w:p>
    <w:p>
      <w:pPr>
        <w:spacing w:after="160"/>
      </w:pPr>
      <w:r>
        <w:rPr>
          <w:rFonts w:ascii="Arial" w:cs="Arial" w:eastAsia="Arial" w:hAnsi="Arial"/>
          <w:sz w:val="22"/>
          <w:szCs w:val="22"/>
        </w:rPr>
        <w:t xml:space="preserve">Vendors are classified based on their level of access to information assets and criticality to service delivery:</w:t>
      </w:r>
    </w:p>
    <w:p>
      <w:pPr>
        <w:spacing w:after="160"/>
      </w:pPr>
      <w:r>
        <w:rPr>
          <w:rFonts w:ascii="Arial" w:cs="Arial" w:eastAsia="Arial" w:hAnsi="Arial"/>
          <w:sz w:val="22"/>
          <w:szCs w:val="22"/>
        </w:rPr>
        <w:t xml:space="preserve">Critical Vendors: Vendors whose services are essential to SafeRedact operations and/or who process or have access to customer data. Service interruption would directly impact SafeRedact availability or security.</w:t>
      </w:r>
    </w:p>
    <w:p>
      <w:pPr>
        <w:spacing w:after="160"/>
      </w:pPr>
      <w:r>
        <w:rPr>
          <w:rFonts w:ascii="Arial" w:cs="Arial" w:eastAsia="Arial" w:hAnsi="Arial"/>
          <w:sz w:val="22"/>
          <w:szCs w:val="22"/>
        </w:rPr>
        <w:t xml:space="preserve">Important Vendors: Vendors who provide significant supporting services but do not directly process customer data. Temporary service interruption would cause inconvenience but not immediate security impact.</w:t>
      </w:r>
    </w:p>
    <w:p>
      <w:pPr>
        <w:spacing w:after="160"/>
      </w:pPr>
      <w:r>
        <w:rPr>
          <w:rFonts w:ascii="Arial" w:cs="Arial" w:eastAsia="Arial" w:hAnsi="Arial"/>
          <w:sz w:val="22"/>
          <w:szCs w:val="22"/>
        </w:rPr>
        <w:t xml:space="preserve">Standard Vendors: Vendors providing routine services with minimal access to information assets.</w:t>
      </w:r>
    </w:p>
    <w:p>
      <w:pPr>
        <w:pStyle w:val="Heading1"/>
      </w:pPr>
      <w:r>
        <w:t xml:space="preserve">3. Current Critical Vendors</w:t>
      </w:r>
    </w:p>
    <w:p>
      <w:pPr>
        <w:pStyle w:val="Heading2"/>
      </w:pPr>
      <w:r>
        <w:t xml:space="preserve">3.1 Anthropic</w:t>
      </w:r>
    </w:p>
    <w:p>
      <w:pPr>
        <w:spacing w:after="160"/>
      </w:pPr>
      <w:r>
        <w:rPr>
          <w:rFonts w:ascii="Arial" w:cs="Arial" w:eastAsia="Arial" w:hAnsi="Arial"/>
          <w:sz w:val="22"/>
          <w:szCs w:val="22"/>
        </w:rPr>
        <w:t xml:space="preserve">Service: AI/LLM API for PII detection assistance. Data Access: Processes text content sent via API calls for redaction analysis. Security Posture: SOC 2 attested. Data handling agreement includes no-retention of API inputs. Mitigation: Zero-storage API usage; no customer documents are stored by Anthropic.</w:t>
      </w:r>
    </w:p>
    <w:p>
      <w:pPr>
        <w:pStyle w:val="Heading2"/>
      </w:pPr>
      <w:r>
        <w:t xml:space="preserve">3.2 Vercel</w:t>
      </w:r>
    </w:p>
    <w:p>
      <w:pPr>
        <w:spacing w:after="160"/>
      </w:pPr>
      <w:r>
        <w:rPr>
          <w:rFonts w:ascii="Arial" w:cs="Arial" w:eastAsia="Arial" w:hAnsi="Arial"/>
          <w:sz w:val="22"/>
          <w:szCs w:val="22"/>
        </w:rPr>
        <w:t xml:space="preserve">Service: Application hosting and deployment platform. Data Access: Hosts the SafeRedact web application; has access to deployment artifacts and environment variables. Security Posture: SOC 2 Type II attested. Mitigation: Environment variables encrypted at rest; deployment logs monitored.</w:t>
      </w:r>
    </w:p>
    <w:p>
      <w:pPr>
        <w:pStyle w:val="Heading2"/>
      </w:pPr>
      <w:r>
        <w:t xml:space="preserve">3.3 Supabase</w:t>
      </w:r>
    </w:p>
    <w:p>
      <w:pPr>
        <w:spacing w:after="160"/>
      </w:pPr>
      <w:r>
        <w:rPr>
          <w:rFonts w:ascii="Arial" w:cs="Arial" w:eastAsia="Arial" w:hAnsi="Arial"/>
          <w:sz w:val="22"/>
          <w:szCs w:val="22"/>
        </w:rPr>
        <w:t xml:space="preserve">Service: Authentication, database, and backend infrastructure. Data Access: Stores user account data (email, subscription status, authentication records). Does not store customer documents. Security Posture: SOC 2 Type II attested. Mitigation: Row-level security (RLS) policies enforced; database access restricted to service role with rotation schedule.</w:t>
      </w:r>
    </w:p>
    <w:p>
      <w:pPr>
        <w:pStyle w:val="Heading2"/>
      </w:pPr>
      <w:r>
        <w:t xml:space="preserve">3.4 Stripe</w:t>
      </w:r>
    </w:p>
    <w:p>
      <w:pPr>
        <w:spacing w:after="160"/>
      </w:pPr>
      <w:r>
        <w:rPr>
          <w:rFonts w:ascii="Arial" w:cs="Arial" w:eastAsia="Arial" w:hAnsi="Arial"/>
          <w:sz w:val="22"/>
          <w:szCs w:val="22"/>
        </w:rPr>
        <w:t xml:space="preserve">Service: Payment processing. Data Access: Processes customer payment information. Security Posture: PCI DSS Level 1 compliant. Mitigation: SafeRedact never stores or handles raw payment card data; all payment processing is delegated to Stripe.</w:t>
      </w:r>
    </w:p>
    <w:p>
      <w:pPr>
        <w:pStyle w:val="Heading1"/>
      </w:pPr>
      <w:r>
        <w:t xml:space="preserve">4. Vendor Assessment Process</w:t>
      </w:r>
    </w:p>
    <w:p>
      <w:pPr>
        <w:pStyle w:val="Heading2"/>
      </w:pPr>
      <w:r>
        <w:t xml:space="preserve">4.1 Pre-Engagement Assessment</w:t>
      </w:r>
    </w:p>
    <w:p>
      <w:pPr>
        <w:spacing w:after="160"/>
      </w:pPr>
      <w:r>
        <w:rPr>
          <w:rFonts w:ascii="Arial" w:cs="Arial" w:eastAsia="Arial" w:hAnsi="Arial"/>
          <w:sz w:val="22"/>
          <w:szCs w:val="22"/>
        </w:rPr>
        <w:t xml:space="preserve">Before engaging a new Critical or Important vendor, the following assessment shall be completed:</w:t>
      </w:r>
    </w:p>
    <w:p>
      <w:pPr>
        <w:pStyle w:val="ListParagraph"/>
        <w:numPr>
          <w:ilvl w:val="0"/>
          <w:numId w:val="2"/>
        </w:numPr>
        <w:spacing w:after="80"/>
      </w:pPr>
      <w:r>
        <w:rPr>
          <w:rFonts w:ascii="Arial" w:cs="Arial" w:eastAsia="Arial" w:hAnsi="Arial"/>
          <w:sz w:val="22"/>
          <w:szCs w:val="22"/>
        </w:rPr>
        <w:t xml:space="preserve">Review of the vendor’s security certifications (SOC 2, ISO 27001, PCI DSS as applicable)</w:t>
      </w:r>
    </w:p>
    <w:p>
      <w:pPr>
        <w:pStyle w:val="ListParagraph"/>
        <w:numPr>
          <w:ilvl w:val="0"/>
          <w:numId w:val="3"/>
        </w:numPr>
        <w:spacing w:after="80"/>
      </w:pPr>
      <w:r>
        <w:rPr>
          <w:rFonts w:ascii="Arial" w:cs="Arial" w:eastAsia="Arial" w:hAnsi="Arial"/>
          <w:sz w:val="22"/>
          <w:szCs w:val="22"/>
        </w:rPr>
        <w:t xml:space="preserve">Review of the vendor’s data handling and privacy practices</w:t>
      </w:r>
    </w:p>
    <w:p>
      <w:pPr>
        <w:pStyle w:val="ListParagraph"/>
        <w:numPr>
          <w:ilvl w:val="0"/>
          <w:numId w:val="4"/>
        </w:numPr>
        <w:spacing w:after="80"/>
      </w:pPr>
      <w:r>
        <w:rPr>
          <w:rFonts w:ascii="Arial" w:cs="Arial" w:eastAsia="Arial" w:hAnsi="Arial"/>
          <w:sz w:val="22"/>
          <w:szCs w:val="22"/>
        </w:rPr>
        <w:t xml:space="preserve">Assessment of the vendor’s incident response and notification procedures</w:t>
      </w:r>
    </w:p>
    <w:p>
      <w:pPr>
        <w:pStyle w:val="ListParagraph"/>
        <w:numPr>
          <w:ilvl w:val="0"/>
          <w:numId w:val="5"/>
        </w:numPr>
        <w:spacing w:after="80"/>
      </w:pPr>
      <w:r>
        <w:rPr>
          <w:rFonts w:ascii="Arial" w:cs="Arial" w:eastAsia="Arial" w:hAnsi="Arial"/>
          <w:sz w:val="22"/>
          <w:szCs w:val="22"/>
        </w:rPr>
        <w:t xml:space="preserve">Review of the vendor’s business continuity and disaster recovery capabilities</w:t>
      </w:r>
    </w:p>
    <w:p>
      <w:pPr>
        <w:pStyle w:val="ListParagraph"/>
        <w:numPr>
          <w:ilvl w:val="0"/>
          <w:numId w:val="6"/>
        </w:numPr>
        <w:spacing w:after="80"/>
      </w:pPr>
      <w:r>
        <w:rPr>
          <w:rFonts w:ascii="Arial" w:cs="Arial" w:eastAsia="Arial" w:hAnsi="Arial"/>
          <w:sz w:val="22"/>
          <w:szCs w:val="22"/>
        </w:rPr>
        <w:t xml:space="preserve">Execution of a Data Processing Agreement (DPA) where the vendor processes personal data</w:t>
      </w:r>
    </w:p>
    <w:p>
      <w:pPr>
        <w:pStyle w:val="Heading2"/>
      </w:pPr>
      <w:r>
        <w:t xml:space="preserve">4.2 Ongoing Monitoring</w:t>
      </w:r>
    </w:p>
    <w:p>
      <w:pPr>
        <w:spacing w:after="160"/>
      </w:pPr>
      <w:r>
        <w:rPr>
          <w:rFonts w:ascii="Arial" w:cs="Arial" w:eastAsia="Arial" w:hAnsi="Arial"/>
          <w:sz w:val="22"/>
          <w:szCs w:val="22"/>
        </w:rPr>
        <w:t xml:space="preserve">Critical vendors shall be reviewed annually. The review shall include verification of continued security certifications, review of any security incidents reported by the vendor, assessment of service performance against SLAs, review of any changes to the vendor’s data handling practices, and confirmation that DPAs remain current and adequate.</w:t>
      </w:r>
    </w:p>
    <w:p>
      <w:pPr>
        <w:pStyle w:val="Heading1"/>
      </w:pPr>
      <w:r>
        <w:t xml:space="preserve">5. Data Processing Agreements</w:t>
      </w:r>
    </w:p>
    <w:p>
      <w:pPr>
        <w:spacing w:after="160"/>
      </w:pPr>
      <w:r>
        <w:rPr>
          <w:rFonts w:ascii="Arial" w:cs="Arial" w:eastAsia="Arial" w:hAnsi="Arial"/>
          <w:sz w:val="22"/>
          <w:szCs w:val="22"/>
        </w:rPr>
        <w:t xml:space="preserve">A DPA shall be executed with any vendor that processes personal data on behalf of SafeRedact or its customers. The DPA shall specify the nature and purpose of processing, types of personal data processed, data subject categories, processing duration, subprocessor notification and approval requirements, data breach notification obligations, data deletion/return upon termination, and audit rights.</w:t>
      </w:r>
    </w:p>
    <w:p>
      <w:pPr>
        <w:pStyle w:val="Heading1"/>
      </w:pPr>
      <w:r>
        <w:t xml:space="preserve">6. Vendor Termination</w:t>
      </w:r>
    </w:p>
    <w:p>
      <w:pPr>
        <w:spacing w:after="160"/>
      </w:pPr>
      <w:r>
        <w:rPr>
          <w:rFonts w:ascii="Arial" w:cs="Arial" w:eastAsia="Arial" w:hAnsi="Arial"/>
          <w:sz w:val="22"/>
          <w:szCs w:val="22"/>
        </w:rPr>
        <w:t xml:space="preserve">Upon termination of a vendor relationship, the following steps shall be completed: revocation of all access credentials and API keys, confirmation of data deletion or return per the DPA, update of the vendor register and risk assessment, and transition of services to an alternative provider or in-house capability.</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2026-03-16T17:50:40.329Z</dcterms:created>
  <dcterms:modified xsi:type="dcterms:W3CDTF">2026-03-16T17:50:40.329Z</dcterms:modified>
</cp:coreProperties>
</file>

<file path=docProps/custom.xml><?xml version="1.0" encoding="utf-8"?>
<Properties xmlns="http://schemas.openxmlformats.org/officeDocument/2006/custom-properties" xmlns:vt="http://schemas.openxmlformats.org/officeDocument/2006/docPropsVTypes"/>
</file>