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Acceptable Use Policy</w:t>
      </w:r>
    </w:p>
    <w:p>
      <w:pPr>
        <w:spacing w:after="600"/>
        <w:jc w:val="center"/>
      </w:pPr>
      <w:r>
        <w:rPr>
          <w:rFonts w:ascii="Arial" w:cs="Arial" w:eastAsia="Arial" w:hAnsi="Arial"/>
          <w:i/>
          <w:iCs/>
          <w:color w:val="718096"/>
          <w:sz w:val="24"/>
          <w:szCs w:val="24"/>
        </w:rPr>
        <w:t xml:space="preserve">ISO 27001 A.5.10 / SOC 2 CC1.1</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acceptable and prohibited uses of SafeRedact information systems by all personnel. It supports ISO 27001:2022 Annex A control A.5.10 and SOC 2 criteria CC1.1 (Control Environment).</w:t>
      </w:r>
    </w:p>
    <w:p>
      <w:pPr>
        <w:pStyle w:val="Heading1"/>
      </w:pPr>
      <w:r>
        <w:t xml:space="preserve">2. Scope</w:t>
      </w:r>
    </w:p>
    <w:p>
      <w:pPr>
        <w:spacing w:after="160"/>
      </w:pPr>
      <w:r>
        <w:rPr>
          <w:rFonts w:ascii="Arial" w:cs="Arial" w:eastAsia="Arial" w:hAnsi="Arial"/>
          <w:sz w:val="22"/>
          <w:szCs w:val="22"/>
        </w:rPr>
        <w:t xml:space="preserve">This policy applies to all individuals who have access to SafeRedact systems, including employees, contractors, temporary workers, and any third parties granted access to company systems.</w:t>
      </w:r>
    </w:p>
    <w:p>
      <w:pPr>
        <w:pStyle w:val="Heading1"/>
      </w:pPr>
      <w:r>
        <w:t xml:space="preserve">3. Acceptable Use</w:t>
      </w:r>
    </w:p>
    <w:p>
      <w:pPr>
        <w:spacing w:after="160"/>
      </w:pPr>
      <w:r>
        <w:rPr>
          <w:rFonts w:ascii="Arial" w:cs="Arial" w:eastAsia="Arial" w:hAnsi="Arial"/>
          <w:sz w:val="22"/>
          <w:szCs w:val="22"/>
        </w:rPr>
        <w:t xml:space="preserve">Company information systems shall be used primarily for legitimate business purposes. Limited personal use is permitted provided it does not interfere with work duties, consume excessive resources, or violate any other company policy.</w:t>
      </w:r>
    </w:p>
    <w:p>
      <w:pPr>
        <w:pStyle w:val="Heading1"/>
      </w:pPr>
      <w:r>
        <w:t xml:space="preserve">4. Prohibited Activities</w:t>
      </w:r>
    </w:p>
    <w:p>
      <w:pPr>
        <w:spacing w:after="160"/>
      </w:pPr>
      <w:r>
        <w:rPr>
          <w:rFonts w:ascii="Arial" w:cs="Arial" w:eastAsia="Arial" w:hAnsi="Arial"/>
          <w:sz w:val="22"/>
          <w:szCs w:val="22"/>
        </w:rPr>
        <w:t xml:space="preserve">The following activities are strictly prohibited:</w:t>
      </w:r>
    </w:p>
    <w:p>
      <w:pPr>
        <w:pStyle w:val="ListParagraph"/>
        <w:numPr>
          <w:ilvl w:val="0"/>
          <w:numId w:val="2"/>
        </w:numPr>
        <w:spacing w:after="80"/>
      </w:pPr>
      <w:r>
        <w:rPr>
          <w:rFonts w:ascii="Arial" w:cs="Arial" w:eastAsia="Arial" w:hAnsi="Arial"/>
          <w:sz w:val="22"/>
          <w:szCs w:val="22"/>
        </w:rPr>
        <w:t xml:space="preserve">Sharing credentials, API keys, or access tokens with unauthorized individuals</w:t>
      </w:r>
    </w:p>
    <w:p>
      <w:pPr>
        <w:pStyle w:val="ListParagraph"/>
        <w:numPr>
          <w:ilvl w:val="0"/>
          <w:numId w:val="3"/>
        </w:numPr>
        <w:spacing w:after="80"/>
      </w:pPr>
      <w:r>
        <w:rPr>
          <w:rFonts w:ascii="Arial" w:cs="Arial" w:eastAsia="Arial" w:hAnsi="Arial"/>
          <w:sz w:val="22"/>
          <w:szCs w:val="22"/>
        </w:rPr>
        <w:t xml:space="preserve">Storing production credentials, API keys, or tokens in source code, documentation, or unencrypted files</w:t>
      </w:r>
    </w:p>
    <w:p>
      <w:pPr>
        <w:pStyle w:val="ListParagraph"/>
        <w:numPr>
          <w:ilvl w:val="0"/>
          <w:numId w:val="4"/>
        </w:numPr>
        <w:spacing w:after="80"/>
      </w:pPr>
      <w:r>
        <w:rPr>
          <w:rFonts w:ascii="Arial" w:cs="Arial" w:eastAsia="Arial" w:hAnsi="Arial"/>
          <w:sz w:val="22"/>
          <w:szCs w:val="22"/>
        </w:rPr>
        <w:t xml:space="preserve">Accessing systems or data beyond authorized scope</w:t>
      </w:r>
    </w:p>
    <w:p>
      <w:pPr>
        <w:pStyle w:val="ListParagraph"/>
        <w:numPr>
          <w:ilvl w:val="0"/>
          <w:numId w:val="5"/>
        </w:numPr>
        <w:spacing w:after="80"/>
      </w:pPr>
      <w:r>
        <w:rPr>
          <w:rFonts w:ascii="Arial" w:cs="Arial" w:eastAsia="Arial" w:hAnsi="Arial"/>
          <w:sz w:val="22"/>
          <w:szCs w:val="22"/>
        </w:rPr>
        <w:t xml:space="preserve">Installing unauthorized software on systems used for SafeRedact operations</w:t>
      </w:r>
    </w:p>
    <w:p>
      <w:pPr>
        <w:pStyle w:val="ListParagraph"/>
        <w:numPr>
          <w:ilvl w:val="0"/>
          <w:numId w:val="6"/>
        </w:numPr>
        <w:spacing w:after="80"/>
      </w:pPr>
      <w:r>
        <w:rPr>
          <w:rFonts w:ascii="Arial" w:cs="Arial" w:eastAsia="Arial" w:hAnsi="Arial"/>
          <w:sz w:val="22"/>
          <w:szCs w:val="22"/>
        </w:rPr>
        <w:t xml:space="preserve">Disabling or circumventing security controls including MFA, antivirus, or firewall settings</w:t>
      </w:r>
    </w:p>
    <w:p>
      <w:pPr>
        <w:pStyle w:val="ListParagraph"/>
        <w:numPr>
          <w:ilvl w:val="0"/>
          <w:numId w:val="7"/>
        </w:numPr>
        <w:spacing w:after="80"/>
      </w:pPr>
      <w:r>
        <w:rPr>
          <w:rFonts w:ascii="Arial" w:cs="Arial" w:eastAsia="Arial" w:hAnsi="Arial"/>
          <w:sz w:val="22"/>
          <w:szCs w:val="22"/>
        </w:rPr>
        <w:t xml:space="preserve">Using company systems for illegal activities or activities that could damage the company’s reputation</w:t>
      </w:r>
    </w:p>
    <w:p>
      <w:pPr>
        <w:pStyle w:val="ListParagraph"/>
        <w:numPr>
          <w:ilvl w:val="0"/>
          <w:numId w:val="8"/>
        </w:numPr>
        <w:spacing w:after="80"/>
      </w:pPr>
      <w:r>
        <w:rPr>
          <w:rFonts w:ascii="Arial" w:cs="Arial" w:eastAsia="Arial" w:hAnsi="Arial"/>
          <w:sz w:val="22"/>
          <w:szCs w:val="22"/>
        </w:rPr>
        <w:t xml:space="preserve">Transmitting Confidential or Restricted information via unencrypted channels</w:t>
      </w:r>
    </w:p>
    <w:p>
      <w:pPr>
        <w:pStyle w:val="ListParagraph"/>
        <w:numPr>
          <w:ilvl w:val="0"/>
          <w:numId w:val="9"/>
        </w:numPr>
        <w:spacing w:after="80"/>
      </w:pPr>
      <w:r>
        <w:rPr>
          <w:rFonts w:ascii="Arial" w:cs="Arial" w:eastAsia="Arial" w:hAnsi="Arial"/>
          <w:sz w:val="22"/>
          <w:szCs w:val="22"/>
        </w:rPr>
        <w:t xml:space="preserve">Connecting to production databases from unsecured networks without VPN</w:t>
      </w:r>
    </w:p>
    <w:p>
      <w:pPr>
        <w:pStyle w:val="Heading1"/>
      </w:pPr>
      <w:r>
        <w:t xml:space="preserve">5. Workstation Security</w:t>
      </w:r>
    </w:p>
    <w:p>
      <w:pPr>
        <w:spacing w:after="160"/>
      </w:pPr>
      <w:r>
        <w:rPr>
          <w:rFonts w:ascii="Arial" w:cs="Arial" w:eastAsia="Arial" w:hAnsi="Arial"/>
          <w:sz w:val="22"/>
          <w:szCs w:val="22"/>
        </w:rPr>
        <w:t xml:space="preserve">All workstations used for SafeRedact development or administration shall have full-disk encryption enabled, automatic screen lock after 5 minutes of inactivity, current operating system patches and updates applied, and approved antivirus/endpoint protection active.</w:t>
      </w:r>
    </w:p>
    <w:p>
      <w:pPr>
        <w:pStyle w:val="Heading1"/>
      </w:pPr>
      <w:r>
        <w:t xml:space="preserve">6. Email and Communication</w:t>
      </w:r>
    </w:p>
    <w:p>
      <w:pPr>
        <w:spacing w:after="160"/>
      </w:pPr>
      <w:r>
        <w:rPr>
          <w:rFonts w:ascii="Arial" w:cs="Arial" w:eastAsia="Arial" w:hAnsi="Arial"/>
          <w:sz w:val="22"/>
          <w:szCs w:val="22"/>
        </w:rPr>
        <w:t xml:space="preserve">Company email accounts shall not be used for personal purposes that could create legal liability. Confidential information shall not be transmitted via personal email accounts. Suspicious emails shall be reported to the Information Security Officer immediately. Email containing Confidential data should include appropriate classification notice.</w:t>
      </w:r>
    </w:p>
    <w:p>
      <w:pPr>
        <w:pStyle w:val="Heading1"/>
      </w:pPr>
      <w:r>
        <w:t xml:space="preserve">7. Monitoring</w:t>
      </w:r>
    </w:p>
    <w:p>
      <w:pPr>
        <w:spacing w:after="160"/>
      </w:pPr>
      <w:r>
        <w:rPr>
          <w:rFonts w:ascii="Arial" w:cs="Arial" w:eastAsia="Arial" w:hAnsi="Arial"/>
          <w:sz w:val="22"/>
          <w:szCs w:val="22"/>
        </w:rPr>
        <w:t xml:space="preserve">The organization reserves the right to monitor the use of its information systems. Users should have no expectation of privacy when using company systems. Monitoring may include review of system logs, email content on company accounts, and access records.</w:t>
      </w:r>
    </w:p>
    <w:p>
      <w:pPr>
        <w:pStyle w:val="Heading1"/>
      </w:pPr>
      <w:r>
        <w:t xml:space="preserve">8. Violations</w:t>
      </w:r>
    </w:p>
    <w:p>
      <w:pPr>
        <w:spacing w:after="160"/>
      </w:pPr>
      <w:r>
        <w:rPr>
          <w:rFonts w:ascii="Arial" w:cs="Arial" w:eastAsia="Arial" w:hAnsi="Arial"/>
          <w:sz w:val="22"/>
          <w:szCs w:val="22"/>
        </w:rPr>
        <w:t xml:space="preserve">Violations of this policy may result in disciplinary action up to and including termination, revocation of system access, and legal action where appropriate. All suspected violations shall be reported to the Information Security Officer for investigation.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2026-03-16T17:50:40.339Z</dcterms:created>
  <dcterms:modified xsi:type="dcterms:W3CDTF">2026-03-16T17:50:40.339Z</dcterms:modified>
</cp:coreProperties>
</file>

<file path=docProps/custom.xml><?xml version="1.0" encoding="utf-8"?>
<Properties xmlns="http://schemas.openxmlformats.org/officeDocument/2006/custom-properties" xmlns:vt="http://schemas.openxmlformats.org/officeDocument/2006/docPropsVTypes"/>
</file>