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Logging, Monitoring, and Audit Policy</w:t>
      </w:r>
    </w:p>
    <w:p>
      <w:pPr>
        <w:spacing w:after="600"/>
        <w:jc w:val="center"/>
      </w:pPr>
      <w:r>
        <w:rPr>
          <w:rFonts w:ascii="Arial" w:cs="Arial" w:eastAsia="Arial" w:hAnsi="Arial"/>
          <w:i/>
          <w:iCs/>
          <w:color w:val="718096"/>
          <w:sz w:val="24"/>
          <w:szCs w:val="24"/>
        </w:rPr>
        <w:t xml:space="preserve">ISO 27001 A.8.15–A.8.16 / SOC 2 CC7.1–CC7.2</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requirements for logging, monitoring, and auditing activities across SafeRedact systems. It addresses ISO 27001:2022 Annex A controls A.8.15–A.8.16 and SOC 2 criteria CC7.1–CC7.2.</w:t>
      </w:r>
    </w:p>
    <w:p>
      <w:pPr>
        <w:pStyle w:val="Heading1"/>
      </w:pPr>
      <w:r>
        <w:t xml:space="preserve">2. Logging Requirements</w:t>
      </w:r>
    </w:p>
    <w:p>
      <w:pPr>
        <w:pStyle w:val="Heading2"/>
      </w:pPr>
      <w:r>
        <w:t xml:space="preserve">2.1 Events to Log</w:t>
      </w:r>
    </w:p>
    <w:p>
      <w:pPr>
        <w:spacing w:after="160"/>
      </w:pPr>
      <w:r>
        <w:rPr>
          <w:rFonts w:ascii="Arial" w:cs="Arial" w:eastAsia="Arial" w:hAnsi="Arial"/>
          <w:sz w:val="22"/>
          <w:szCs w:val="22"/>
        </w:rPr>
        <w:t xml:space="preserve">The following events shall be logged across all production systems:</w:t>
      </w:r>
    </w:p>
    <w:p>
      <w:pPr>
        <w:pStyle w:val="ListParagraph"/>
        <w:numPr>
          <w:ilvl w:val="0"/>
          <w:numId w:val="2"/>
        </w:numPr>
        <w:spacing w:after="80"/>
      </w:pPr>
      <w:r>
        <w:rPr>
          <w:rFonts w:ascii="Arial" w:cs="Arial" w:eastAsia="Arial" w:hAnsi="Arial"/>
          <w:sz w:val="22"/>
          <w:szCs w:val="22"/>
        </w:rPr>
        <w:t xml:space="preserve">Authentication events: successful and failed login attempts, password resets, MFA challenges</w:t>
      </w:r>
    </w:p>
    <w:p>
      <w:pPr>
        <w:pStyle w:val="ListParagraph"/>
        <w:numPr>
          <w:ilvl w:val="0"/>
          <w:numId w:val="3"/>
        </w:numPr>
        <w:spacing w:after="80"/>
      </w:pPr>
      <w:r>
        <w:rPr>
          <w:rFonts w:ascii="Arial" w:cs="Arial" w:eastAsia="Arial" w:hAnsi="Arial"/>
          <w:sz w:val="22"/>
          <w:szCs w:val="22"/>
        </w:rPr>
        <w:t xml:space="preserve">Authorization events: access granted or denied to protected resources</w:t>
      </w:r>
    </w:p>
    <w:p>
      <w:pPr>
        <w:pStyle w:val="ListParagraph"/>
        <w:numPr>
          <w:ilvl w:val="0"/>
          <w:numId w:val="4"/>
        </w:numPr>
        <w:spacing w:after="80"/>
      </w:pPr>
      <w:r>
        <w:rPr>
          <w:rFonts w:ascii="Arial" w:cs="Arial" w:eastAsia="Arial" w:hAnsi="Arial"/>
          <w:sz w:val="22"/>
          <w:szCs w:val="22"/>
        </w:rPr>
        <w:t xml:space="preserve">Administrative actions: user creation/deletion, privilege changes, configuration changes</w:t>
      </w:r>
    </w:p>
    <w:p>
      <w:pPr>
        <w:pStyle w:val="ListParagraph"/>
        <w:numPr>
          <w:ilvl w:val="0"/>
          <w:numId w:val="5"/>
        </w:numPr>
        <w:spacing w:after="80"/>
      </w:pPr>
      <w:r>
        <w:rPr>
          <w:rFonts w:ascii="Arial" w:cs="Arial" w:eastAsia="Arial" w:hAnsi="Arial"/>
          <w:sz w:val="22"/>
          <w:szCs w:val="22"/>
        </w:rPr>
        <w:t xml:space="preserve">Application events: errors, exceptions, significant business logic events</w:t>
      </w:r>
    </w:p>
    <w:p>
      <w:pPr>
        <w:pStyle w:val="ListParagraph"/>
        <w:numPr>
          <w:ilvl w:val="0"/>
          <w:numId w:val="6"/>
        </w:numPr>
        <w:spacing w:after="80"/>
      </w:pPr>
      <w:r>
        <w:rPr>
          <w:rFonts w:ascii="Arial" w:cs="Arial" w:eastAsia="Arial" w:hAnsi="Arial"/>
          <w:sz w:val="22"/>
          <w:szCs w:val="22"/>
        </w:rPr>
        <w:t xml:space="preserve">API usage: requests to Anthropic API, Supabase queries, Stripe webhook events</w:t>
      </w:r>
    </w:p>
    <w:p>
      <w:pPr>
        <w:pStyle w:val="ListParagraph"/>
        <w:numPr>
          <w:ilvl w:val="0"/>
          <w:numId w:val="7"/>
        </w:numPr>
        <w:spacing w:after="80"/>
      </w:pPr>
      <w:r>
        <w:rPr>
          <w:rFonts w:ascii="Arial" w:cs="Arial" w:eastAsia="Arial" w:hAnsi="Arial"/>
          <w:sz w:val="22"/>
          <w:szCs w:val="22"/>
        </w:rPr>
        <w:t xml:space="preserve">Deployment events: Vercel deployments, rollbacks, environment variable changes</w:t>
      </w:r>
    </w:p>
    <w:p>
      <w:pPr>
        <w:pStyle w:val="Heading2"/>
      </w:pPr>
      <w:r>
        <w:t xml:space="preserve">2.2 Log Content</w:t>
      </w:r>
    </w:p>
    <w:p>
      <w:pPr>
        <w:spacing w:after="160"/>
      </w:pPr>
      <w:r>
        <w:rPr>
          <w:rFonts w:ascii="Arial" w:cs="Arial" w:eastAsia="Arial" w:hAnsi="Arial"/>
          <w:sz w:val="22"/>
          <w:szCs w:val="22"/>
        </w:rPr>
        <w:t xml:space="preserve">Each log entry shall include a timestamp in UTC, the event type, the identity of the user or system component, the source IP address where applicable, the outcome (success or failure), and sufficient detail to understand the event without exposing Confidential or Restricted data.</w:t>
      </w:r>
    </w:p>
    <w:p>
      <w:pPr>
        <w:pStyle w:val="Heading2"/>
      </w:pPr>
      <w:r>
        <w:t xml:space="preserve">2.3 Log Protection</w:t>
      </w:r>
    </w:p>
    <w:p>
      <w:pPr>
        <w:spacing w:after="160"/>
      </w:pPr>
      <w:r>
        <w:rPr>
          <w:rFonts w:ascii="Arial" w:cs="Arial" w:eastAsia="Arial" w:hAnsi="Arial"/>
          <w:sz w:val="22"/>
          <w:szCs w:val="22"/>
        </w:rPr>
        <w:t xml:space="preserve">Logs shall be protected from unauthorized access, modification, and deletion. Log integrity shall be maintained through access controls on log storage. Logs shall not contain plaintext passwords, API keys, or customer document content.</w:t>
      </w:r>
    </w:p>
    <w:p>
      <w:pPr>
        <w:pStyle w:val="Heading1"/>
      </w:pPr>
      <w:r>
        <w:t xml:space="preserve">3. Log Retention</w:t>
      </w:r>
    </w:p>
    <w:p>
      <w:pPr>
        <w:spacing w:after="160"/>
      </w:pPr>
      <w:r>
        <w:rPr>
          <w:rFonts w:ascii="Arial" w:cs="Arial" w:eastAsia="Arial" w:hAnsi="Arial"/>
          <w:sz w:val="22"/>
          <w:szCs w:val="22"/>
        </w:rPr>
        <w:t xml:space="preserve">Authentication and access logs: 12 months. Application error logs: 90 days. Deployment logs: 12 months. API usage logs: 90 days. Security incident logs: 3 years. Audit logs: 3 years.</w:t>
      </w:r>
    </w:p>
    <w:p>
      <w:pPr>
        <w:pStyle w:val="Heading1"/>
      </w:pPr>
      <w:r>
        <w:t xml:space="preserve">4. Monitoring</w:t>
      </w:r>
    </w:p>
    <w:p>
      <w:pPr>
        <w:pStyle w:val="Heading2"/>
      </w:pPr>
      <w:r>
        <w:t xml:space="preserve">4.1 Continuous Monitoring</w:t>
      </w:r>
    </w:p>
    <w:p>
      <w:pPr>
        <w:spacing w:after="160"/>
      </w:pPr>
      <w:r>
        <w:rPr>
          <w:rFonts w:ascii="Arial" w:cs="Arial" w:eastAsia="Arial" w:hAnsi="Arial"/>
          <w:sz w:val="22"/>
          <w:szCs w:val="22"/>
        </w:rPr>
        <w:t xml:space="preserve">The following shall be continuously monitored: application uptime and response times via Vercel analytics, authentication failure rates for detection of brute force attempts, API error rates and latency, and deployment status and health checks.</w:t>
      </w:r>
    </w:p>
    <w:p>
      <w:pPr>
        <w:pStyle w:val="Heading2"/>
      </w:pPr>
      <w:r>
        <w:t xml:space="preserve">4.2 Alerting</w:t>
      </w:r>
    </w:p>
    <w:p>
      <w:pPr>
        <w:spacing w:after="160"/>
      </w:pPr>
      <w:r>
        <w:rPr>
          <w:rFonts w:ascii="Arial" w:cs="Arial" w:eastAsia="Arial" w:hAnsi="Arial"/>
          <w:sz w:val="22"/>
          <w:szCs w:val="22"/>
        </w:rPr>
        <w:t xml:space="preserve">Automated alerts shall be configured for multiple consecutive authentication failures from a single source, production deployment failures, API error rates exceeding defined thresholds, certificate expiration warnings (30 days in advance), and any Severity 1 or 2 incident indicators.</w:t>
      </w:r>
    </w:p>
    <w:p>
      <w:pPr>
        <w:pStyle w:val="Heading1"/>
      </w:pPr>
      <w:r>
        <w:t xml:space="preserve">5. Audit</w:t>
      </w:r>
    </w:p>
    <w:p>
      <w:pPr>
        <w:pStyle w:val="Heading2"/>
      </w:pPr>
      <w:r>
        <w:t xml:space="preserve">5.1 Internal Audit</w:t>
      </w:r>
    </w:p>
    <w:p>
      <w:pPr>
        <w:spacing w:after="160"/>
      </w:pPr>
      <w:r>
        <w:rPr>
          <w:rFonts w:ascii="Arial" w:cs="Arial" w:eastAsia="Arial" w:hAnsi="Arial"/>
          <w:sz w:val="22"/>
          <w:szCs w:val="22"/>
        </w:rPr>
        <w:t xml:space="preserve">Internal audits of the ISMS shall be conducted at least annually. The audit shall verify compliance with all ISMS policies, effectiveness of implemented controls, accuracy of the risk register, and completeness of incident and change records.</w:t>
      </w:r>
    </w:p>
    <w:p>
      <w:pPr>
        <w:pStyle w:val="Heading2"/>
      </w:pPr>
      <w:r>
        <w:t xml:space="preserve">5.2 Audit Independence</w:t>
      </w:r>
    </w:p>
    <w:p>
      <w:pPr>
        <w:spacing w:after="160"/>
      </w:pPr>
      <w:r>
        <w:rPr>
          <w:rFonts w:ascii="Arial" w:cs="Arial" w:eastAsia="Arial" w:hAnsi="Arial"/>
          <w:sz w:val="22"/>
          <w:szCs w:val="22"/>
        </w:rPr>
        <w:t xml:space="preserve">Internal audits shall be conducted with appropriate independence. Where the organization size prevents full independence, compensating controls shall include documented audit checklists and criteria, management review of audit findings, and external audit or assessment at least biennially.</w:t>
      </w:r>
    </w:p>
    <w:p>
      <w:pPr>
        <w:pStyle w:val="Heading2"/>
      </w:pPr>
      <w:r>
        <w:t xml:space="preserve">5.3 Audit Records</w:t>
      </w:r>
    </w:p>
    <w:p>
      <w:pPr>
        <w:spacing w:after="160"/>
      </w:pPr>
      <w:r>
        <w:rPr>
          <w:rFonts w:ascii="Arial" w:cs="Arial" w:eastAsia="Arial" w:hAnsi="Arial"/>
          <w:sz w:val="22"/>
          <w:szCs w:val="22"/>
        </w:rPr>
        <w:t xml:space="preserve">All audit activities shall be documented, including the audit scope and criteria, findings and evidence, corrective action plans, and follow-up verification of remediation.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2026-03-16T17:50:40.345Z</dcterms:created>
  <dcterms:modified xsi:type="dcterms:W3CDTF">2026-03-16T17:50:40.345Z</dcterms:modified>
</cp:coreProperties>
</file>

<file path=docProps/custom.xml><?xml version="1.0" encoding="utf-8"?>
<Properties xmlns="http://schemas.openxmlformats.org/officeDocument/2006/custom-properties" xmlns:vt="http://schemas.openxmlformats.org/officeDocument/2006/docPropsVTypes"/>
</file>