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Privacy and Data Protection Policy</w:t>
      </w:r>
    </w:p>
    <w:p>
      <w:pPr>
        <w:spacing w:after="600"/>
        <w:jc w:val="center"/>
      </w:pPr>
      <w:r>
        <w:rPr>
          <w:rFonts w:ascii="Arial" w:cs="Arial" w:eastAsia="Arial" w:hAnsi="Arial"/>
          <w:i/>
          <w:iCs/>
          <w:color w:val="718096"/>
          <w:sz w:val="24"/>
          <w:szCs w:val="24"/>
        </w:rPr>
        <w:t xml:space="preserve">ISO 27001 A.5.34 / SOC 2 P1.1–P8.1</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policy defines how SafeRedact collects, processes, stores, and protects personal data in compliance with applicable privacy regulations. It addresses ISO 27001:2022 Annex A control A.5.34 and SOC 2 Privacy Trust Service Criteria (P1.1–P8.1).</w:t>
      </w:r>
    </w:p>
    <w:p>
      <w:pPr>
        <w:pStyle w:val="Heading1"/>
      </w:pPr>
      <w:r>
        <w:t xml:space="preserve">2. Regulatory Framework</w:t>
      </w:r>
    </w:p>
    <w:p>
      <w:pPr>
        <w:spacing w:after="160"/>
      </w:pPr>
      <w:r>
        <w:rPr>
          <w:rFonts w:ascii="Arial" w:cs="Arial" w:eastAsia="Arial" w:hAnsi="Arial"/>
          <w:sz w:val="22"/>
          <w:szCs w:val="22"/>
        </w:rPr>
        <w:t xml:space="preserve">SafeRedact operates under the following privacy regulations:</w:t>
      </w:r>
    </w:p>
    <w:p>
      <w:pPr>
        <w:pStyle w:val="ListParagraph"/>
        <w:numPr>
          <w:ilvl w:val="0"/>
          <w:numId w:val="2"/>
        </w:numPr>
        <w:spacing w:after="80"/>
      </w:pPr>
      <w:r>
        <w:rPr>
          <w:rFonts w:ascii="Arial" w:cs="Arial" w:eastAsia="Arial" w:hAnsi="Arial"/>
          <w:sz w:val="22"/>
          <w:szCs w:val="22"/>
        </w:rPr>
        <w:t xml:space="preserve">UK General Data Protection Regulation (UK GDPR): For processing of personal data of UK residents</w:t>
      </w:r>
    </w:p>
    <w:p>
      <w:pPr>
        <w:pStyle w:val="ListParagraph"/>
        <w:numPr>
          <w:ilvl w:val="0"/>
          <w:numId w:val="3"/>
        </w:numPr>
        <w:spacing w:after="80"/>
      </w:pPr>
      <w:r>
        <w:rPr>
          <w:rFonts w:ascii="Arial" w:cs="Arial" w:eastAsia="Arial" w:hAnsi="Arial"/>
          <w:sz w:val="22"/>
          <w:szCs w:val="22"/>
        </w:rPr>
        <w:t xml:space="preserve">EU General Data Protection Regulation (EU GDPR): For processing of personal data of EU/EEA residents</w:t>
      </w:r>
    </w:p>
    <w:p>
      <w:pPr>
        <w:pStyle w:val="ListParagraph"/>
        <w:numPr>
          <w:ilvl w:val="0"/>
          <w:numId w:val="4"/>
        </w:numPr>
        <w:spacing w:after="80"/>
      </w:pPr>
      <w:r>
        <w:rPr>
          <w:rFonts w:ascii="Arial" w:cs="Arial" w:eastAsia="Arial" w:hAnsi="Arial"/>
          <w:sz w:val="22"/>
          <w:szCs w:val="22"/>
        </w:rPr>
        <w:t xml:space="preserve">California Consumer Privacy Act / California Privacy Rights Act (CCPA/CPRA): For personal information of California residents</w:t>
      </w:r>
    </w:p>
    <w:p>
      <w:pPr>
        <w:pStyle w:val="Heading1"/>
      </w:pPr>
      <w:r>
        <w:t xml:space="preserve">3. Data Controller vs. Data Processor</w:t>
      </w:r>
    </w:p>
    <w:p>
      <w:pPr>
        <w:spacing w:after="160"/>
      </w:pPr>
      <w:r>
        <w:rPr>
          <w:rFonts w:ascii="Arial" w:cs="Arial" w:eastAsia="Arial" w:hAnsi="Arial"/>
          <w:sz w:val="22"/>
          <w:szCs w:val="22"/>
        </w:rPr>
        <w:t xml:space="preserve">SafeRedact acts as a Data Controller for user account data (email, subscription information, usage analytics) collected in the course of providing the service.</w:t>
      </w:r>
    </w:p>
    <w:p>
      <w:pPr>
        <w:spacing w:after="160"/>
      </w:pPr>
      <w:r>
        <w:rPr>
          <w:rFonts w:ascii="Arial" w:cs="Arial" w:eastAsia="Arial" w:hAnsi="Arial"/>
          <w:sz w:val="22"/>
          <w:szCs w:val="22"/>
        </w:rPr>
        <w:t xml:space="preserve">SafeRedact acts as a Data Processor when processing documents on behalf of enterprise customers for DSAR compliance. In this capacity, SafeRedact processes personal data only on documented instructions from the controller (the enterprise customer), as governed by the applicable Data Processing Agreement.</w:t>
      </w:r>
    </w:p>
    <w:p>
      <w:pPr>
        <w:pStyle w:val="Heading1"/>
      </w:pPr>
      <w:r>
        <w:t xml:space="preserve">4. Personal Data Collected</w:t>
      </w:r>
    </w:p>
    <w:p>
      <w:pPr>
        <w:pStyle w:val="Heading2"/>
      </w:pPr>
      <w:r>
        <w:t xml:space="preserve">4.1 Account Data</w:t>
      </w:r>
    </w:p>
    <w:p>
      <w:pPr>
        <w:spacing w:after="160"/>
      </w:pPr>
      <w:r>
        <w:rPr>
          <w:rFonts w:ascii="Arial" w:cs="Arial" w:eastAsia="Arial" w:hAnsi="Arial"/>
          <w:sz w:val="22"/>
          <w:szCs w:val="22"/>
        </w:rPr>
        <w:t xml:space="preserve">SafeRedact collects and stores the following personal data for user accounts: email address (for authentication and communication), subscription status and billing history (managed by Stripe), and usage data (number of documents processed, feature usage). This data is stored in Supabase with encryption at rest and row-level security.</w:t>
      </w:r>
    </w:p>
    <w:p>
      <w:pPr>
        <w:pStyle w:val="Heading2"/>
      </w:pPr>
      <w:r>
        <w:t xml:space="preserve">4.2 Customer Document Data</w:t>
      </w:r>
    </w:p>
    <w:p>
      <w:pPr>
        <w:spacing w:after="160"/>
      </w:pPr>
      <w:r>
        <w:rPr>
          <w:rFonts w:ascii="Arial" w:cs="Arial" w:eastAsia="Arial" w:hAnsi="Arial"/>
          <w:sz w:val="22"/>
          <w:szCs w:val="22"/>
        </w:rPr>
        <w:t xml:space="preserve">SafeRedact’s zero-storage architecture means that customer documents are processed in the user’s browser, document content is not transmitted to SafeRedact servers (except for text extracts sent to Anthropic API for AI-assisted detection under a no-retention agreement), processed/redacted documents are returned to the user and not stored, and no customer document content is retained after the browser session ends.</w:t>
      </w:r>
    </w:p>
    <w:p>
      <w:pPr>
        <w:pStyle w:val="Heading1"/>
      </w:pPr>
      <w:r>
        <w:t xml:space="preserve">5. Data Subject Rights</w:t>
      </w:r>
    </w:p>
    <w:p>
      <w:pPr>
        <w:spacing w:after="160"/>
      </w:pPr>
      <w:r>
        <w:rPr>
          <w:rFonts w:ascii="Arial" w:cs="Arial" w:eastAsia="Arial" w:hAnsi="Arial"/>
          <w:sz w:val="22"/>
          <w:szCs w:val="22"/>
        </w:rPr>
        <w:t xml:space="preserve">SafeRedact supports the following data subject rights:</w:t>
      </w:r>
    </w:p>
    <w:p>
      <w:pPr>
        <w:pStyle w:val="ListParagraph"/>
        <w:numPr>
          <w:ilvl w:val="0"/>
          <w:numId w:val="5"/>
        </w:numPr>
        <w:spacing w:after="80"/>
      </w:pPr>
      <w:r>
        <w:rPr>
          <w:rFonts w:ascii="Arial" w:cs="Arial" w:eastAsia="Arial" w:hAnsi="Arial"/>
          <w:sz w:val="22"/>
          <w:szCs w:val="22"/>
        </w:rPr>
        <w:t xml:space="preserve">Right of Access: Users may request a copy of their personal data by contacting support@saferedact.app</w:t>
      </w:r>
    </w:p>
    <w:p>
      <w:pPr>
        <w:pStyle w:val="ListParagraph"/>
        <w:numPr>
          <w:ilvl w:val="0"/>
          <w:numId w:val="6"/>
        </w:numPr>
        <w:spacing w:after="80"/>
      </w:pPr>
      <w:r>
        <w:rPr>
          <w:rFonts w:ascii="Arial" w:cs="Arial" w:eastAsia="Arial" w:hAnsi="Arial"/>
          <w:sz w:val="22"/>
          <w:szCs w:val="22"/>
        </w:rPr>
        <w:t xml:space="preserve">Right to Rectification: Users may update their account information through the application</w:t>
      </w:r>
    </w:p>
    <w:p>
      <w:pPr>
        <w:pStyle w:val="ListParagraph"/>
        <w:numPr>
          <w:ilvl w:val="0"/>
          <w:numId w:val="7"/>
        </w:numPr>
        <w:spacing w:after="80"/>
      </w:pPr>
      <w:r>
        <w:rPr>
          <w:rFonts w:ascii="Arial" w:cs="Arial" w:eastAsia="Arial" w:hAnsi="Arial"/>
          <w:sz w:val="22"/>
          <w:szCs w:val="22"/>
        </w:rPr>
        <w:t xml:space="preserve">Right to Erasure: Users may request deletion of their account and associated data</w:t>
      </w:r>
    </w:p>
    <w:p>
      <w:pPr>
        <w:pStyle w:val="ListParagraph"/>
        <w:numPr>
          <w:ilvl w:val="0"/>
          <w:numId w:val="8"/>
        </w:numPr>
        <w:spacing w:after="80"/>
      </w:pPr>
      <w:r>
        <w:rPr>
          <w:rFonts w:ascii="Arial" w:cs="Arial" w:eastAsia="Arial" w:hAnsi="Arial"/>
          <w:sz w:val="22"/>
          <w:szCs w:val="22"/>
        </w:rPr>
        <w:t xml:space="preserve">Right to Restriction: Users may request restriction of processing of their personal data</w:t>
      </w:r>
    </w:p>
    <w:p>
      <w:pPr>
        <w:pStyle w:val="ListParagraph"/>
        <w:numPr>
          <w:ilvl w:val="0"/>
          <w:numId w:val="9"/>
        </w:numPr>
        <w:spacing w:after="80"/>
      </w:pPr>
      <w:r>
        <w:rPr>
          <w:rFonts w:ascii="Arial" w:cs="Arial" w:eastAsia="Arial" w:hAnsi="Arial"/>
          <w:sz w:val="22"/>
          <w:szCs w:val="22"/>
        </w:rPr>
        <w:t xml:space="preserve">Right to Portability: Users may request their personal data in a machine-readable format</w:t>
      </w:r>
    </w:p>
    <w:p>
      <w:pPr>
        <w:pStyle w:val="ListParagraph"/>
        <w:numPr>
          <w:ilvl w:val="0"/>
          <w:numId w:val="10"/>
        </w:numPr>
        <w:spacing w:after="80"/>
      </w:pPr>
      <w:r>
        <w:rPr>
          <w:rFonts w:ascii="Arial" w:cs="Arial" w:eastAsia="Arial" w:hAnsi="Arial"/>
          <w:sz w:val="22"/>
          <w:szCs w:val="22"/>
        </w:rPr>
        <w:t xml:space="preserve">Right to Object: Users may object to processing of their personal data for specific purposes</w:t>
      </w:r>
    </w:p>
    <w:p>
      <w:pPr>
        <w:spacing w:after="160"/>
      </w:pPr>
      <w:r>
        <w:rPr>
          <w:rFonts w:ascii="Arial" w:cs="Arial" w:eastAsia="Arial" w:hAnsi="Arial"/>
          <w:sz w:val="22"/>
          <w:szCs w:val="22"/>
        </w:rPr>
        <w:t xml:space="preserve">Data subject requests shall be acknowledged within 3 business days and fulfilled within 30 days (or as required by applicable regulation).</w:t>
      </w:r>
    </w:p>
    <w:p>
      <w:pPr>
        <w:pStyle w:val="Heading1"/>
      </w:pPr>
      <w:r>
        <w:t xml:space="preserve">6. International Data Transfers</w:t>
      </w:r>
    </w:p>
    <w:p>
      <w:pPr>
        <w:spacing w:after="160"/>
      </w:pPr>
      <w:r>
        <w:rPr>
          <w:rFonts w:ascii="Arial" w:cs="Arial" w:eastAsia="Arial" w:hAnsi="Arial"/>
          <w:sz w:val="22"/>
          <w:szCs w:val="22"/>
        </w:rPr>
        <w:t xml:space="preserve">SafeRedact infrastructure is hosted in the United States. For transfers of personal data from the UK/EU to the US, SafeRedact relies on Standard Contractual Clauses (SCCs) as incorporated in Data Processing Agreements with enterprise customers, and adequacy decisions where applicable. Transfer impact assessments shall be conducted and documented.</w:t>
      </w:r>
    </w:p>
    <w:p>
      <w:pPr>
        <w:pStyle w:val="Heading1"/>
      </w:pPr>
      <w:r>
        <w:t xml:space="preserve">7. Privacy by Design</w:t>
      </w:r>
    </w:p>
    <w:p>
      <w:pPr>
        <w:spacing w:after="160"/>
      </w:pPr>
      <w:r>
        <w:rPr>
          <w:rFonts w:ascii="Arial" w:cs="Arial" w:eastAsia="Arial" w:hAnsi="Arial"/>
          <w:sz w:val="22"/>
          <w:szCs w:val="22"/>
        </w:rPr>
        <w:t xml:space="preserve">SafeRedact is built on privacy-by-design principles. The zero-storage architecture minimizes personal data exposure. Browser-based processing ensures customer documents do not leave the user’s device. Data minimization is practiced by collecting only the personal data necessary for service delivery. Privacy impact assessments shall be conducted before introducing new features that process personal data.</w:t>
      </w:r>
    </w:p>
    <w:p>
      <w:pPr>
        <w:pStyle w:val="Heading1"/>
      </w:pPr>
      <w:r>
        <w:t xml:space="preserve">8. Breach Notification</w:t>
      </w:r>
    </w:p>
    <w:p>
      <w:pPr>
        <w:spacing w:after="160"/>
      </w:pPr>
      <w:r>
        <w:rPr>
          <w:rFonts w:ascii="Arial" w:cs="Arial" w:eastAsia="Arial" w:hAnsi="Arial"/>
          <w:sz w:val="22"/>
          <w:szCs w:val="22"/>
        </w:rPr>
        <w:t xml:space="preserve">In the event of a personal data breach, notification shall be provided in accordance with the Incident Response Policy and applicable regulations: UK GDPR requires notification to the ICO within 72 hours, EU GDPR requires notification to the supervisory authority within 72 hours, CCPA/CPRA requires notification to affected individuals in the most expedient time possible, and enterprise customers shall be notified per their DPA terms.</w:t>
      </w:r>
    </w:p>
    <w:p>
      <w:pPr>
        <w:pStyle w:val="Heading1"/>
      </w:pPr>
      <w:r>
        <w:t xml:space="preserve">9. Data Processing Agreements</w:t>
      </w:r>
    </w:p>
    <w:p>
      <w:pPr>
        <w:spacing w:after="160"/>
      </w:pPr>
      <w:r>
        <w:rPr>
          <w:rFonts w:ascii="Arial" w:cs="Arial" w:eastAsia="Arial" w:hAnsi="Arial"/>
          <w:sz w:val="22"/>
          <w:szCs w:val="22"/>
        </w:rPr>
        <w:t xml:space="preserve">DPAs shall be executed with all enterprise customers for whom SafeRedact acts as a data processor. Current DPA templates are maintained for UK GDPR, EU GDPR, US CCPA/CPRA, and UK project-scoped processing. All DPAs are executed under Cambridge Holdings, LLC, Bensenville, Illinois.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2026-03-16T17:50:40.350Z</dcterms:created>
  <dcterms:modified xsi:type="dcterms:W3CDTF">2026-03-16T17:50:40.350Z</dcterms:modified>
</cp:coreProperties>
</file>

<file path=docProps/custom.xml><?xml version="1.0" encoding="utf-8"?>
<Properties xmlns="http://schemas.openxmlformats.org/officeDocument/2006/custom-properties" xmlns:vt="http://schemas.openxmlformats.org/officeDocument/2006/docPropsVTypes"/>
</file>